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46BA1" w14:textId="77777777" w:rsidR="00944925" w:rsidRDefault="00944925">
      <w:pPr>
        <w:spacing w:before="6"/>
        <w:rPr>
          <w:rFonts w:ascii="Times New Roman" w:eastAsia="Times New Roman" w:hAnsi="Times New Roman" w:cs="Times New Roman"/>
          <w:sz w:val="24"/>
          <w:szCs w:val="24"/>
        </w:rPr>
      </w:pPr>
    </w:p>
    <w:p w14:paraId="6121E790" w14:textId="77777777" w:rsidR="00944925" w:rsidRDefault="00500F6F">
      <w:pPr>
        <w:spacing w:before="38" w:line="547" w:lineRule="exact"/>
        <w:ind w:right="1"/>
        <w:jc w:val="center"/>
        <w:rPr>
          <w:rFonts w:ascii="Arial" w:eastAsia="Arial" w:hAnsi="Arial" w:cs="Arial"/>
          <w:sz w:val="48"/>
          <w:szCs w:val="48"/>
        </w:rPr>
      </w:pPr>
      <w:r>
        <w:rPr>
          <w:rFonts w:ascii="Arial"/>
          <w:b/>
          <w:spacing w:val="-1"/>
          <w:sz w:val="48"/>
        </w:rPr>
        <w:t>PRACTICE</w:t>
      </w:r>
      <w:r>
        <w:rPr>
          <w:rFonts w:ascii="Arial"/>
          <w:b/>
          <w:spacing w:val="-18"/>
          <w:sz w:val="48"/>
        </w:rPr>
        <w:t xml:space="preserve"> </w:t>
      </w:r>
      <w:r>
        <w:rPr>
          <w:rFonts w:ascii="Arial"/>
          <w:b/>
          <w:sz w:val="48"/>
        </w:rPr>
        <w:t>GUIDE</w:t>
      </w:r>
    </w:p>
    <w:p w14:paraId="6CBD649D" w14:textId="3F263DC3" w:rsidR="00944925" w:rsidRPr="000C3268" w:rsidRDefault="006A59B7">
      <w:pPr>
        <w:spacing w:line="409" w:lineRule="exact"/>
        <w:ind w:right="1"/>
        <w:jc w:val="center"/>
        <w:rPr>
          <w:rFonts w:ascii="Arial" w:eastAsia="Arial" w:hAnsi="Arial" w:cs="Arial"/>
          <w:sz w:val="36"/>
          <w:szCs w:val="36"/>
        </w:rPr>
      </w:pPr>
      <w:r>
        <w:rPr>
          <w:rFonts w:ascii="Arial"/>
          <w:spacing w:val="-1"/>
          <w:sz w:val="36"/>
        </w:rPr>
        <w:t>Separate representative access to Child Safety information</w:t>
      </w:r>
    </w:p>
    <w:p w14:paraId="38C9CB0E" w14:textId="77777777" w:rsidR="00944925" w:rsidRPr="000C3268" w:rsidRDefault="00944925">
      <w:pPr>
        <w:spacing w:before="7"/>
        <w:rPr>
          <w:rFonts w:ascii="Arial" w:eastAsia="Arial" w:hAnsi="Arial" w:cs="Arial"/>
          <w:sz w:val="24"/>
          <w:szCs w:val="24"/>
        </w:rPr>
      </w:pPr>
    </w:p>
    <w:p w14:paraId="307FA0D8" w14:textId="77777777" w:rsidR="00944925" w:rsidRPr="000C3268" w:rsidRDefault="00245BC5">
      <w:pPr>
        <w:spacing w:line="20" w:lineRule="atLeast"/>
        <w:ind w:left="1098"/>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w14:anchorId="267B0168">
          <v:group id="_x0000_s1029" style="width:485.5pt;height:.6pt;mso-position-horizontal-relative:char;mso-position-vertical-relative:line" coordsize="9710,12">
            <v:group id="_x0000_s1030" style="position:absolute;left:6;top:6;width:9698;height:2" coordorigin="6,6" coordsize="9698,2">
              <v:shape id="_x0000_s1031" style="position:absolute;left:6;top:6;width:9698;height:2" coordorigin="6,6" coordsize="9698,0" path="m6,6r9698,e" filled="f" strokeweight=".58pt">
                <v:path arrowok="t"/>
              </v:shape>
            </v:group>
            <w10:anchorlock/>
          </v:group>
        </w:pict>
      </w:r>
    </w:p>
    <w:p w14:paraId="2B4A4042" w14:textId="77777777" w:rsidR="00944925" w:rsidRPr="000C3268" w:rsidRDefault="00944925">
      <w:pPr>
        <w:rPr>
          <w:rFonts w:ascii="Arial" w:eastAsia="Arial" w:hAnsi="Arial" w:cs="Arial"/>
          <w:sz w:val="20"/>
          <w:szCs w:val="20"/>
        </w:rPr>
      </w:pPr>
    </w:p>
    <w:p w14:paraId="5A8FE9E2" w14:textId="77777777" w:rsidR="00944925" w:rsidRPr="000C3268" w:rsidRDefault="00944925">
      <w:pPr>
        <w:spacing w:before="4"/>
        <w:rPr>
          <w:rFonts w:ascii="Arial" w:eastAsia="Arial" w:hAnsi="Arial" w:cs="Arial"/>
          <w:sz w:val="18"/>
          <w:szCs w:val="18"/>
        </w:rPr>
      </w:pPr>
    </w:p>
    <w:p w14:paraId="7D438325" w14:textId="77777777" w:rsidR="006A59B7" w:rsidRPr="006A59B7" w:rsidRDefault="006A59B7" w:rsidP="006A59B7">
      <w:pPr>
        <w:pStyle w:val="BodyText"/>
        <w:spacing w:before="0" w:after="240"/>
        <w:ind w:left="1132" w:right="1517" w:firstLine="0"/>
      </w:pPr>
      <w:r w:rsidRPr="006A59B7">
        <w:t>This resource outlines the process of for providing separate representatives with access to Child Safety information for the children whose interests they represent.</w:t>
      </w:r>
    </w:p>
    <w:p w14:paraId="220B13CF" w14:textId="350DB863" w:rsidR="006A59B7" w:rsidRPr="006A59B7" w:rsidRDefault="006A59B7" w:rsidP="006A59B7">
      <w:pPr>
        <w:pStyle w:val="Heading1"/>
        <w:spacing w:before="65" w:after="60"/>
        <w:rPr>
          <w:rFonts w:cs="Arial"/>
        </w:rPr>
      </w:pPr>
      <w:r w:rsidRPr="009D0FC7">
        <w:rPr>
          <w:rFonts w:cs="Arial"/>
        </w:rPr>
        <w:t>Role of a separate representative</w:t>
      </w:r>
    </w:p>
    <w:p w14:paraId="1E03BF4C" w14:textId="77777777" w:rsidR="006A59B7" w:rsidRPr="006A59B7" w:rsidRDefault="006A59B7" w:rsidP="006A59B7">
      <w:pPr>
        <w:pStyle w:val="BodyText"/>
        <w:spacing w:before="0" w:after="240"/>
        <w:ind w:left="1132" w:right="1517" w:firstLine="0"/>
      </w:pPr>
      <w:r w:rsidRPr="009D0FC7">
        <w:t xml:space="preserve">The court may appoint a separate representative, who must act in the child’s best interests and can do anything that can be done by a party to the proceedings.  </w:t>
      </w:r>
    </w:p>
    <w:p w14:paraId="5EA0CF68" w14:textId="77777777" w:rsidR="006A59B7" w:rsidRDefault="006A59B7" w:rsidP="006A59B7">
      <w:pPr>
        <w:pStyle w:val="Heading1"/>
        <w:spacing w:before="65" w:after="60"/>
        <w:rPr>
          <w:rFonts w:cs="Arial"/>
        </w:rPr>
      </w:pPr>
      <w:r w:rsidRPr="009D0FC7">
        <w:rPr>
          <w:rFonts w:cs="Arial"/>
        </w:rPr>
        <w:t xml:space="preserve">Separate representatives’ access to information </w:t>
      </w:r>
    </w:p>
    <w:p w14:paraId="427E0C4D" w14:textId="77777777" w:rsidR="00945672" w:rsidRDefault="00945672" w:rsidP="00945672">
      <w:pPr>
        <w:pStyle w:val="BodyText"/>
        <w:spacing w:before="0" w:after="180"/>
        <w:ind w:left="1132" w:right="1517" w:firstLine="0"/>
      </w:pPr>
      <w:r>
        <w:t>Se</w:t>
      </w:r>
      <w:r w:rsidRPr="009D0FC7">
        <w:t xml:space="preserve">parate representatives perform a function under </w:t>
      </w:r>
      <w:r>
        <w:t xml:space="preserve">the </w:t>
      </w:r>
      <w:r w:rsidRPr="006A59B7">
        <w:rPr>
          <w:i/>
          <w:iCs/>
        </w:rPr>
        <w:t>Child Protection Act 1999</w:t>
      </w:r>
      <w:r w:rsidRPr="006A59B7">
        <w:t xml:space="preserve"> </w:t>
      </w:r>
      <w:r w:rsidRPr="009D0FC7">
        <w:t>(the Act) and are entitled to information</w:t>
      </w:r>
      <w:r>
        <w:t xml:space="preserve"> about the children and families they represent. However, it is important to have controls in place </w:t>
      </w:r>
      <w:r w:rsidRPr="009D0FC7">
        <w:t xml:space="preserve">to ensure </w:t>
      </w:r>
      <w:r>
        <w:t xml:space="preserve">that </w:t>
      </w:r>
      <w:r w:rsidRPr="009D0FC7">
        <w:t xml:space="preserve">confidential information </w:t>
      </w:r>
      <w:r>
        <w:t>is</w:t>
      </w:r>
      <w:r w:rsidRPr="009D0FC7">
        <w:t xml:space="preserve"> protected</w:t>
      </w:r>
      <w:r>
        <w:t>,</w:t>
      </w:r>
      <w:r w:rsidRPr="009D0FC7">
        <w:t xml:space="preserve"> privacy </w:t>
      </w:r>
      <w:r>
        <w:t xml:space="preserve">is </w:t>
      </w:r>
      <w:proofErr w:type="gramStart"/>
      <w:r w:rsidRPr="009D0FC7">
        <w:t>maintained</w:t>
      </w:r>
      <w:proofErr w:type="gramEnd"/>
      <w:r>
        <w:t xml:space="preserve"> and Child Safety </w:t>
      </w:r>
      <w:r w:rsidRPr="009D0FC7">
        <w:t>i</w:t>
      </w:r>
      <w:r>
        <w:t xml:space="preserve">s </w:t>
      </w:r>
      <w:r w:rsidRPr="009D0FC7">
        <w:t>clear what information a separate representative ha</w:t>
      </w:r>
      <w:r>
        <w:t>s</w:t>
      </w:r>
      <w:r w:rsidRPr="009D0FC7">
        <w:t xml:space="preserve"> obtained.</w:t>
      </w:r>
    </w:p>
    <w:p w14:paraId="78AAC44E" w14:textId="77777777" w:rsidR="00945672" w:rsidRPr="006A59B7" w:rsidRDefault="00945672" w:rsidP="00945672">
      <w:pPr>
        <w:pStyle w:val="BodyText"/>
        <w:spacing w:before="0" w:after="240"/>
        <w:ind w:left="1132" w:right="1517" w:firstLine="0"/>
      </w:pPr>
      <w:r>
        <w:t xml:space="preserve">To facilitate this, </w:t>
      </w:r>
      <w:r w:rsidRPr="006A59B7">
        <w:t xml:space="preserve">separate representatives will not be provided with information via Child Safety Services </w:t>
      </w:r>
      <w:proofErr w:type="spellStart"/>
      <w:r w:rsidRPr="006A59B7">
        <w:t>Centres</w:t>
      </w:r>
      <w:proofErr w:type="spellEnd"/>
      <w:r w:rsidRPr="006A59B7">
        <w:t>. Only DCPL will provide separate representatives with access to Child Safety information.</w:t>
      </w:r>
    </w:p>
    <w:p w14:paraId="4A39D879" w14:textId="77777777" w:rsidR="00945672" w:rsidRPr="006A59B7" w:rsidRDefault="00945672" w:rsidP="00945672">
      <w:pPr>
        <w:pStyle w:val="BodyText"/>
        <w:spacing w:before="0" w:after="60"/>
        <w:ind w:left="1132" w:right="1517" w:firstLine="0"/>
        <w:rPr>
          <w:spacing w:val="-1"/>
        </w:rPr>
      </w:pPr>
      <w:r>
        <w:t>This means Child Safety staff will not al</w:t>
      </w:r>
      <w:r w:rsidRPr="006A59B7">
        <w:rPr>
          <w:spacing w:val="-1"/>
        </w:rPr>
        <w:t xml:space="preserve">low separate representatives to read everything on the ICMS, </w:t>
      </w:r>
      <w:proofErr w:type="spellStart"/>
      <w:r w:rsidRPr="006A59B7">
        <w:rPr>
          <w:spacing w:val="-1"/>
        </w:rPr>
        <w:t>iDOCS</w:t>
      </w:r>
      <w:proofErr w:type="spellEnd"/>
      <w:r w:rsidRPr="006A59B7">
        <w:rPr>
          <w:spacing w:val="-1"/>
        </w:rPr>
        <w:t xml:space="preserve"> and paper files</w:t>
      </w:r>
    </w:p>
    <w:p w14:paraId="283288C7" w14:textId="77777777" w:rsidR="00945672" w:rsidRPr="006A59B7" w:rsidRDefault="00945672" w:rsidP="00945672">
      <w:pPr>
        <w:pStyle w:val="BodyText"/>
        <w:numPr>
          <w:ilvl w:val="0"/>
          <w:numId w:val="1"/>
        </w:numPr>
        <w:tabs>
          <w:tab w:val="left" w:pos="1491"/>
        </w:tabs>
        <w:spacing w:before="0" w:after="60"/>
        <w:ind w:right="1745" w:hanging="358"/>
        <w:rPr>
          <w:spacing w:val="-1"/>
        </w:rPr>
      </w:pPr>
      <w:r w:rsidRPr="006A59B7">
        <w:rPr>
          <w:spacing w:val="-1"/>
        </w:rPr>
        <w:t>allow unsupervised access to ICMS records on a computer in the CSSC</w:t>
      </w:r>
    </w:p>
    <w:p w14:paraId="35B60692" w14:textId="77777777" w:rsidR="00945672" w:rsidRPr="006A59B7" w:rsidRDefault="00945672" w:rsidP="00945672">
      <w:pPr>
        <w:pStyle w:val="BodyText"/>
        <w:numPr>
          <w:ilvl w:val="0"/>
          <w:numId w:val="1"/>
        </w:numPr>
        <w:tabs>
          <w:tab w:val="left" w:pos="1491"/>
        </w:tabs>
        <w:spacing w:before="0" w:after="60"/>
        <w:ind w:right="1745" w:hanging="358"/>
        <w:rPr>
          <w:spacing w:val="-1"/>
        </w:rPr>
      </w:pPr>
      <w:r w:rsidRPr="006A59B7">
        <w:rPr>
          <w:spacing w:val="-1"/>
        </w:rPr>
        <w:t>down and print bulk files without any controls (redaction) in place, or</w:t>
      </w:r>
    </w:p>
    <w:p w14:paraId="2326E56F" w14:textId="77777777" w:rsidR="00945672" w:rsidRPr="006A59B7" w:rsidRDefault="00945672" w:rsidP="00945672">
      <w:pPr>
        <w:pStyle w:val="BodyText"/>
        <w:numPr>
          <w:ilvl w:val="0"/>
          <w:numId w:val="1"/>
        </w:numPr>
        <w:tabs>
          <w:tab w:val="left" w:pos="1491"/>
        </w:tabs>
        <w:spacing w:before="0" w:after="180"/>
        <w:ind w:right="1745" w:hanging="358"/>
        <w:rPr>
          <w:spacing w:val="-1"/>
        </w:rPr>
      </w:pPr>
      <w:r w:rsidRPr="006A59B7">
        <w:rPr>
          <w:spacing w:val="-1"/>
        </w:rPr>
        <w:t>email anything from the file to a separate representative.</w:t>
      </w:r>
    </w:p>
    <w:p w14:paraId="148046CD" w14:textId="77777777" w:rsidR="006A59B7" w:rsidRDefault="006A59B7" w:rsidP="006A59B7">
      <w:pPr>
        <w:pStyle w:val="Heading1"/>
        <w:spacing w:before="65" w:after="60"/>
        <w:rPr>
          <w:rFonts w:cs="Arial"/>
          <w:b w:val="0"/>
        </w:rPr>
      </w:pPr>
      <w:r w:rsidRPr="009D0FC7">
        <w:rPr>
          <w:rFonts w:cs="Arial"/>
        </w:rPr>
        <w:t>Confidentiality Provisions of the Act</w:t>
      </w:r>
    </w:p>
    <w:p w14:paraId="1828D0BC" w14:textId="519C26AB" w:rsidR="006A59B7" w:rsidRDefault="006A59B7" w:rsidP="00120ED8">
      <w:pPr>
        <w:pStyle w:val="BodyText"/>
        <w:spacing w:before="0" w:after="240"/>
        <w:ind w:left="1132" w:right="1517" w:firstLine="0"/>
      </w:pPr>
      <w:r w:rsidRPr="006A59B7">
        <w:t xml:space="preserve">The confidentiality provisions of the Act limit what information may be disclosed. These provisions </w:t>
      </w:r>
      <w:r w:rsidRPr="009D0FC7">
        <w:t xml:space="preserve">ensure the confidentiality of notifiers and the protection of other information obtained in working with children and their families. </w:t>
      </w:r>
    </w:p>
    <w:p w14:paraId="70DC80DB" w14:textId="77777777" w:rsidR="006A59B7" w:rsidRPr="006A59B7" w:rsidRDefault="006A59B7" w:rsidP="006A59B7">
      <w:pPr>
        <w:pStyle w:val="Heading1"/>
        <w:spacing w:before="65" w:after="60"/>
        <w:rPr>
          <w:rFonts w:cs="Arial"/>
        </w:rPr>
      </w:pPr>
      <w:r w:rsidRPr="00441DB8">
        <w:rPr>
          <w:rFonts w:cs="Arial"/>
        </w:rPr>
        <w:t xml:space="preserve">Role of </w:t>
      </w:r>
      <w:r>
        <w:rPr>
          <w:rFonts w:cs="Arial"/>
        </w:rPr>
        <w:t xml:space="preserve">Director of Child Protection Litigation </w:t>
      </w:r>
    </w:p>
    <w:p w14:paraId="5648331D" w14:textId="77777777" w:rsidR="006A59B7" w:rsidRDefault="006A59B7" w:rsidP="006A59B7">
      <w:pPr>
        <w:pStyle w:val="BodyText"/>
        <w:spacing w:before="0" w:after="180"/>
        <w:ind w:left="1132" w:right="1517" w:firstLine="0"/>
      </w:pPr>
      <w:r w:rsidRPr="006A59B7">
        <w:t xml:space="preserve">In a proceeding before the court, the DCPL serves all parties, including any appointed separate representative with all documents filed in the proceeding. The DCPL has a duty of disclosure, which </w:t>
      </w:r>
      <w:r>
        <w:t>means that there is a legal requirement to disclose, to each party to the proceeding, including the separate representative, all documents that may be relevant in the case before the court. This duty continues until the proceeding is decided and ensures procedural fairness for all parties, including the separate representative, whilst maintaining confidentiality and privacy.</w:t>
      </w:r>
    </w:p>
    <w:p w14:paraId="2ADDCC8F" w14:textId="77777777" w:rsidR="006A59B7" w:rsidRPr="006A59B7" w:rsidRDefault="006A59B7" w:rsidP="006A59B7">
      <w:pPr>
        <w:pStyle w:val="BodyText"/>
        <w:spacing w:before="0" w:after="60"/>
        <w:ind w:left="1132" w:right="1517" w:firstLine="0"/>
      </w:pPr>
      <w:r w:rsidRPr="006A59B7">
        <w:t>The Act provides that DCPL may refuse to disclose a document or information to a party in circumstances where:</w:t>
      </w:r>
    </w:p>
    <w:p w14:paraId="19FD4871" w14:textId="77777777" w:rsidR="006A59B7" w:rsidRPr="006A59B7" w:rsidRDefault="006A59B7" w:rsidP="006A59B7">
      <w:pPr>
        <w:pStyle w:val="BodyText"/>
        <w:numPr>
          <w:ilvl w:val="0"/>
          <w:numId w:val="1"/>
        </w:numPr>
        <w:tabs>
          <w:tab w:val="left" w:pos="1491"/>
        </w:tabs>
        <w:spacing w:before="0" w:after="60"/>
        <w:ind w:right="1745" w:hanging="358"/>
        <w:rPr>
          <w:spacing w:val="-1"/>
        </w:rPr>
      </w:pPr>
      <w:r w:rsidRPr="006A59B7">
        <w:rPr>
          <w:spacing w:val="-1"/>
        </w:rPr>
        <w:t>it is subject to legal privilege or is communication between DCPL and Child Safety</w:t>
      </w:r>
    </w:p>
    <w:p w14:paraId="24D0DD43" w14:textId="202E314F" w:rsidR="006A59B7" w:rsidRDefault="006A59B7" w:rsidP="006A59B7">
      <w:pPr>
        <w:pStyle w:val="BodyText"/>
        <w:numPr>
          <w:ilvl w:val="0"/>
          <w:numId w:val="1"/>
        </w:numPr>
        <w:tabs>
          <w:tab w:val="left" w:pos="1491"/>
        </w:tabs>
        <w:spacing w:before="0" w:after="60"/>
        <w:ind w:right="1745" w:hanging="358"/>
        <w:rPr>
          <w:spacing w:val="-1"/>
        </w:rPr>
      </w:pPr>
      <w:r w:rsidRPr="006A59B7">
        <w:rPr>
          <w:spacing w:val="-1"/>
        </w:rPr>
        <w:t>disclosure would endanger a person’s safety or psychological health</w:t>
      </w:r>
    </w:p>
    <w:p w14:paraId="08608331" w14:textId="77777777" w:rsidR="006A59B7" w:rsidRPr="00A75B6D" w:rsidRDefault="006A59B7" w:rsidP="006A59B7">
      <w:pPr>
        <w:pStyle w:val="ListParagraph"/>
        <w:widowControl/>
        <w:numPr>
          <w:ilvl w:val="0"/>
          <w:numId w:val="1"/>
        </w:numPr>
        <w:spacing w:after="60"/>
        <w:rPr>
          <w:rFonts w:ascii="Arial" w:hAnsi="Arial" w:cs="Arial"/>
        </w:rPr>
      </w:pPr>
      <w:r w:rsidRPr="00A75B6D">
        <w:rPr>
          <w:rFonts w:ascii="Arial" w:hAnsi="Arial" w:cs="Arial"/>
        </w:rPr>
        <w:t>it is a record of therapeutic counselling</w:t>
      </w:r>
    </w:p>
    <w:p w14:paraId="79959E87" w14:textId="77777777" w:rsidR="006A59B7" w:rsidRPr="00A75B6D" w:rsidRDefault="006A59B7" w:rsidP="006A59B7">
      <w:pPr>
        <w:pStyle w:val="ListParagraph"/>
        <w:widowControl/>
        <w:numPr>
          <w:ilvl w:val="0"/>
          <w:numId w:val="1"/>
        </w:numPr>
        <w:spacing w:after="60"/>
        <w:rPr>
          <w:rFonts w:ascii="Arial" w:hAnsi="Arial" w:cs="Arial"/>
        </w:rPr>
      </w:pPr>
      <w:r w:rsidRPr="00A75B6D">
        <w:rPr>
          <w:rFonts w:ascii="Arial" w:hAnsi="Arial" w:cs="Arial"/>
        </w:rPr>
        <w:t xml:space="preserve">disclosure would prejudice an investigation, or </w:t>
      </w:r>
    </w:p>
    <w:p w14:paraId="7BEF95EE" w14:textId="77777777" w:rsidR="006A59B7" w:rsidRPr="00A75B6D" w:rsidRDefault="006A59B7" w:rsidP="006A59B7">
      <w:pPr>
        <w:pStyle w:val="ListParagraph"/>
        <w:widowControl/>
        <w:numPr>
          <w:ilvl w:val="0"/>
          <w:numId w:val="1"/>
        </w:numPr>
        <w:spacing w:after="240" w:line="259" w:lineRule="auto"/>
        <w:contextualSpacing/>
        <w:rPr>
          <w:rFonts w:ascii="Arial" w:hAnsi="Arial" w:cs="Arial"/>
        </w:rPr>
      </w:pPr>
      <w:r w:rsidRPr="00A75B6D">
        <w:rPr>
          <w:rFonts w:ascii="Arial" w:hAnsi="Arial" w:cs="Arial"/>
        </w:rPr>
        <w:t>there is another good reason for non-disclosure having regard to the best interests of the child.</w:t>
      </w:r>
    </w:p>
    <w:p w14:paraId="7FDD397F" w14:textId="77777777" w:rsidR="006A59B7" w:rsidRDefault="006A59B7" w:rsidP="006A59B7">
      <w:pPr>
        <w:pStyle w:val="Heading1"/>
        <w:spacing w:before="65" w:after="60"/>
        <w:rPr>
          <w:b w:val="0"/>
          <w:bCs w:val="0"/>
        </w:rPr>
      </w:pPr>
      <w:r w:rsidRPr="006A59B7">
        <w:rPr>
          <w:rFonts w:cs="Arial"/>
        </w:rPr>
        <w:lastRenderedPageBreak/>
        <w:t>Disclosure Process</w:t>
      </w:r>
    </w:p>
    <w:p w14:paraId="64F3B32F" w14:textId="3BE3D603" w:rsidR="006A59B7" w:rsidRPr="00A67A80" w:rsidRDefault="006A59B7" w:rsidP="00120ED8">
      <w:pPr>
        <w:pStyle w:val="BodyText"/>
        <w:spacing w:before="0" w:after="240"/>
        <w:ind w:left="1132" w:right="1517" w:firstLine="0"/>
      </w:pPr>
      <w:r w:rsidRPr="00CE5BFD">
        <w:t xml:space="preserve">Within 20 days of the first mention of a proceeding for a child protection order, the DCPL must file with the court and serve on the parties a Disclosure Form, which specifies the types of documents that are usually in the possession of Child Safety. Where a party, including a separate representative, requests disclosure of documents, this request </w:t>
      </w:r>
      <w:r w:rsidR="00945672">
        <w:t>can</w:t>
      </w:r>
      <w:r w:rsidRPr="00CE5BFD">
        <w:t xml:space="preserve"> be made by</w:t>
      </w:r>
      <w:r>
        <w:t xml:space="preserve"> completing a Request for Disclosure Form and providing this to the DCPL. DCPL will then deal with this request, working collaboratively with Child Safety, in accordance with the established procedure in DCPLs </w:t>
      </w:r>
      <w:r w:rsidR="00120ED8">
        <w:t>g</w:t>
      </w:r>
      <w:r>
        <w:t>uidelines.</w:t>
      </w:r>
    </w:p>
    <w:p w14:paraId="742DEEE8" w14:textId="5B56375D" w:rsidR="006A59B7" w:rsidRDefault="006A59B7" w:rsidP="006A59B7">
      <w:pPr>
        <w:pStyle w:val="Heading1"/>
        <w:spacing w:before="65" w:after="60"/>
        <w:rPr>
          <w:rFonts w:cs="Arial"/>
        </w:rPr>
      </w:pPr>
      <w:r w:rsidRPr="00E93BAD">
        <w:rPr>
          <w:rFonts w:cs="Arial"/>
        </w:rPr>
        <w:t>OCFOS/DCPL process</w:t>
      </w:r>
    </w:p>
    <w:p w14:paraId="1596CD2B" w14:textId="0A907998" w:rsidR="00120ED8" w:rsidRPr="00120ED8" w:rsidRDefault="00120ED8" w:rsidP="006A59B7">
      <w:pPr>
        <w:pStyle w:val="Heading1"/>
        <w:spacing w:before="65" w:after="60"/>
        <w:rPr>
          <w:b w:val="0"/>
          <w:bCs w:val="0"/>
          <w:sz w:val="22"/>
          <w:szCs w:val="22"/>
        </w:rPr>
      </w:pPr>
      <w:r w:rsidRPr="00120ED8">
        <w:rPr>
          <w:b w:val="0"/>
          <w:bCs w:val="0"/>
          <w:sz w:val="22"/>
          <w:szCs w:val="22"/>
        </w:rPr>
        <w:t xml:space="preserve">The process for </w:t>
      </w:r>
      <w:r>
        <w:rPr>
          <w:b w:val="0"/>
          <w:bCs w:val="0"/>
          <w:sz w:val="22"/>
          <w:szCs w:val="22"/>
        </w:rPr>
        <w:t>the provision of</w:t>
      </w:r>
      <w:r w:rsidRPr="00120ED8">
        <w:rPr>
          <w:b w:val="0"/>
          <w:bCs w:val="0"/>
          <w:sz w:val="22"/>
          <w:szCs w:val="22"/>
        </w:rPr>
        <w:t xml:space="preserve"> information</w:t>
      </w:r>
      <w:r>
        <w:rPr>
          <w:b w:val="0"/>
          <w:bCs w:val="0"/>
          <w:sz w:val="22"/>
          <w:szCs w:val="22"/>
        </w:rPr>
        <w:t xml:space="preserve"> is:</w:t>
      </w:r>
    </w:p>
    <w:p w14:paraId="21333C82" w14:textId="77777777" w:rsidR="006A59B7" w:rsidRPr="00120ED8" w:rsidRDefault="006A59B7" w:rsidP="00120ED8">
      <w:pPr>
        <w:pStyle w:val="BodyText"/>
        <w:numPr>
          <w:ilvl w:val="0"/>
          <w:numId w:val="1"/>
        </w:numPr>
        <w:tabs>
          <w:tab w:val="left" w:pos="1491"/>
        </w:tabs>
        <w:spacing w:before="0" w:after="60"/>
        <w:ind w:right="1745" w:hanging="358"/>
        <w:rPr>
          <w:spacing w:val="-1"/>
        </w:rPr>
      </w:pPr>
      <w:r w:rsidRPr="00120ED8">
        <w:rPr>
          <w:spacing w:val="-1"/>
        </w:rPr>
        <w:t>OCFOS will pass to DCPL information it considers could be relevant to the child protection proceedings. DCPL will then determine what is in fact relevant to their case.</w:t>
      </w:r>
    </w:p>
    <w:p w14:paraId="45A51560" w14:textId="650769B6" w:rsidR="006A59B7" w:rsidRPr="00120ED8" w:rsidRDefault="006A59B7" w:rsidP="00120ED8">
      <w:pPr>
        <w:pStyle w:val="BodyText"/>
        <w:numPr>
          <w:ilvl w:val="0"/>
          <w:numId w:val="1"/>
        </w:numPr>
        <w:tabs>
          <w:tab w:val="left" w:pos="1491"/>
        </w:tabs>
        <w:spacing w:before="0" w:after="180"/>
        <w:ind w:right="1745" w:hanging="358"/>
        <w:rPr>
          <w:spacing w:val="-1"/>
        </w:rPr>
      </w:pPr>
      <w:r w:rsidRPr="00120ED8">
        <w:rPr>
          <w:spacing w:val="-1"/>
        </w:rPr>
        <w:t xml:space="preserve">DCPL will then make available to the separate representative, so </w:t>
      </w:r>
      <w:proofErr w:type="gramStart"/>
      <w:r w:rsidRPr="00120ED8">
        <w:rPr>
          <w:spacing w:val="-1"/>
        </w:rPr>
        <w:t>all of</w:t>
      </w:r>
      <w:proofErr w:type="gramEnd"/>
      <w:r w:rsidRPr="00120ED8">
        <w:rPr>
          <w:spacing w:val="-1"/>
        </w:rPr>
        <w:t xml:space="preserve"> the material OCFOS and DCPL have collaboratively determined is relevant to the proceeding.</w:t>
      </w:r>
    </w:p>
    <w:p w14:paraId="6931EF05" w14:textId="686F4D59" w:rsidR="006A59B7" w:rsidRPr="00120ED8" w:rsidRDefault="00245BC5" w:rsidP="00120ED8">
      <w:pPr>
        <w:pStyle w:val="BodyText"/>
        <w:spacing w:before="0" w:after="180"/>
        <w:ind w:left="1132" w:right="1517" w:firstLine="0"/>
      </w:pPr>
      <w:r>
        <w:pict w14:anchorId="4B17033B">
          <v:shapetype id="_x0000_t202" coordsize="21600,21600" o:spt="202" path="m,l,21600r21600,l21600,xe">
            <v:stroke joinstyle="miter"/>
            <v:path gradientshapeok="t" o:connecttype="rect"/>
          </v:shapetype>
          <v:shape id="Text Box 217" o:spid="_x0000_s1033" type="#_x0000_t202" style="position:absolute;left:0;text-align:left;margin-left:279pt;margin-top:5.2pt;width:242.05pt;height:90.1pt;z-index:251659264;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">
            <v:textbox style="mso-fit-shape-to-text:t">
              <w:txbxContent>
                <w:p w14:paraId="01610BBD" w14:textId="77777777" w:rsidR="006A59B7" w:rsidRPr="00261E5C" w:rsidRDefault="006A59B7" w:rsidP="00120ED8">
                  <w:pPr>
                    <w:spacing w:before="60" w:after="60"/>
                    <w:rPr>
                      <w:b/>
                      <w:bCs/>
                    </w:rPr>
                  </w:pPr>
                  <w:r w:rsidRPr="00261E5C">
                    <w:rPr>
                      <w:b/>
                      <w:bCs/>
                    </w:rPr>
                    <w:t>Remember:</w:t>
                  </w:r>
                </w:p>
                <w:p w14:paraId="030C09B6" w14:textId="77777777" w:rsidR="006A59B7" w:rsidRDefault="006A59B7" w:rsidP="00120ED8">
                  <w:pPr>
                    <w:spacing w:after="120"/>
                  </w:pPr>
                  <w:r w:rsidRPr="00261E5C">
                    <w:rPr>
                      <w:b/>
                      <w:bCs/>
                    </w:rPr>
                    <w:t>Separate representatives should not view or be given downloads of information from any hard copy or electronic departmental file.  All access is via the DCPL</w:t>
                  </w:r>
                  <w:r>
                    <w:t xml:space="preserve">.  </w:t>
                  </w:r>
                </w:p>
              </w:txbxContent>
            </v:textbox>
            <w10:wrap type="square"/>
          </v:shape>
        </w:pict>
      </w:r>
      <w:r w:rsidR="006A59B7" w:rsidRPr="00120ED8">
        <w:t>This process ensures that DCPL controls compliance with s</w:t>
      </w:r>
      <w:r w:rsidR="00120ED8">
        <w:t>ection</w:t>
      </w:r>
      <w:r w:rsidR="006A59B7" w:rsidRPr="00120ED8">
        <w:t>186 and s</w:t>
      </w:r>
      <w:r w:rsidR="00120ED8">
        <w:t xml:space="preserve">ection </w:t>
      </w:r>
      <w:r w:rsidR="006A59B7" w:rsidRPr="00120ED8">
        <w:t>191 of the Act and eliminates the uncertainty associated with separate representatives accessing information directly from Child Safety in varied ways with no controls in place.</w:t>
      </w:r>
    </w:p>
    <w:p w14:paraId="3BAB8947" w14:textId="77777777" w:rsidR="006A59B7" w:rsidRPr="00120ED8" w:rsidRDefault="006A59B7" w:rsidP="00120ED8">
      <w:pPr>
        <w:pStyle w:val="BodyText"/>
        <w:spacing w:before="0" w:after="180"/>
        <w:ind w:left="1132" w:right="1517" w:firstLine="0"/>
      </w:pPr>
      <w:r w:rsidRPr="00120ED8">
        <w:t xml:space="preserve">It should be noted it does not assist DCPL to have a separate representative trying to use information DCPL has determined is irrelevant or that they haven’t even seen. </w:t>
      </w:r>
    </w:p>
    <w:p w14:paraId="3EBE494D" w14:textId="77777777" w:rsidR="006A59B7" w:rsidRPr="00120ED8" w:rsidRDefault="006A59B7" w:rsidP="00120ED8">
      <w:pPr>
        <w:pStyle w:val="BodyText"/>
        <w:spacing w:before="0" w:after="180"/>
        <w:ind w:left="1132" w:right="1517" w:firstLine="0"/>
      </w:pPr>
      <w:r w:rsidRPr="00120ED8">
        <w:t xml:space="preserve">If a separate representative wants to introduce evidence beyond that which DCPL considers relevant, the separate representative can subpoena information from Child Safety. </w:t>
      </w:r>
    </w:p>
    <w:p w14:paraId="250EE704" w14:textId="77777777" w:rsidR="006A59B7" w:rsidRPr="00120ED8" w:rsidRDefault="006A59B7" w:rsidP="00120ED8">
      <w:pPr>
        <w:pStyle w:val="BodyText"/>
        <w:spacing w:before="0" w:after="180"/>
        <w:ind w:left="1132" w:right="1517" w:firstLine="0"/>
      </w:pPr>
      <w:r w:rsidRPr="00120ED8">
        <w:t>If the subpoena is successful in having further information disclosed, that information is then delivered to the registry and can be considered within the confines of the proceedings.</w:t>
      </w:r>
    </w:p>
    <w:p w14:paraId="27266E41" w14:textId="77777777" w:rsidR="006A59B7" w:rsidRPr="006A59B7" w:rsidRDefault="006A59B7" w:rsidP="006A59B7">
      <w:pPr>
        <w:pStyle w:val="BodyText"/>
        <w:tabs>
          <w:tab w:val="left" w:pos="1491"/>
        </w:tabs>
        <w:spacing w:before="0" w:after="60"/>
        <w:ind w:right="1745"/>
        <w:rPr>
          <w:spacing w:val="-1"/>
        </w:rPr>
      </w:pPr>
    </w:p>
    <w:p w14:paraId="10882691" w14:textId="77777777" w:rsidR="006A59B7" w:rsidRDefault="006A59B7" w:rsidP="006A59B7">
      <w:pPr>
        <w:pStyle w:val="Heading1"/>
        <w:spacing w:before="65" w:after="60"/>
        <w:rPr>
          <w:rFonts w:cs="Arial"/>
        </w:rPr>
      </w:pPr>
    </w:p>
    <w:p w14:paraId="6AD6E19B" w14:textId="77777777" w:rsidR="006A59B7" w:rsidRDefault="006A59B7" w:rsidP="006A59B7">
      <w:pPr>
        <w:pStyle w:val="Heading1"/>
        <w:spacing w:before="65" w:after="60"/>
        <w:rPr>
          <w:rFonts w:cs="Arial"/>
        </w:rPr>
      </w:pPr>
    </w:p>
    <w:p w14:paraId="6E9AFAC4" w14:textId="77777777" w:rsidR="00944925" w:rsidRPr="000C3268" w:rsidRDefault="00944925">
      <w:pPr>
        <w:rPr>
          <w:rFonts w:ascii="Arial" w:eastAsia="Arial" w:hAnsi="Arial" w:cs="Arial"/>
          <w:sz w:val="14"/>
          <w:szCs w:val="14"/>
        </w:rPr>
      </w:pPr>
    </w:p>
    <w:p w14:paraId="4A932E1C" w14:textId="77777777" w:rsidR="00944925" w:rsidRPr="000C3268" w:rsidRDefault="00245BC5">
      <w:pPr>
        <w:spacing w:line="20" w:lineRule="atLeast"/>
        <w:ind w:left="1098"/>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w14:anchorId="6D2D9C04">
          <v:group id="_x0000_s1026" style="width:485.5pt;height:.6pt;mso-position-horizontal-relative:char;mso-position-vertical-relative:line" coordsize="9710,12">
            <v:group id="_x0000_s1027" style="position:absolute;left:6;top:6;width:9698;height:2" coordorigin="6,6" coordsize="9698,2">
              <v:shape id="_x0000_s1028" style="position:absolute;left:6;top:6;width:9698;height:2" coordorigin="6,6" coordsize="9698,0" path="m6,6r9698,e" filled="f" strokeweight=".58pt">
                <v:path arrowok="t"/>
              </v:shape>
            </v:group>
            <w10:anchorlock/>
          </v:group>
        </w:pict>
      </w:r>
    </w:p>
    <w:p w14:paraId="0B5CBA39" w14:textId="77777777" w:rsidR="00944925" w:rsidRPr="000C3268" w:rsidRDefault="00944925">
      <w:pPr>
        <w:rPr>
          <w:rFonts w:ascii="Arial" w:eastAsia="Arial" w:hAnsi="Arial" w:cs="Arial"/>
          <w:sz w:val="20"/>
          <w:szCs w:val="20"/>
        </w:rPr>
      </w:pPr>
    </w:p>
    <w:p w14:paraId="7F60CC35" w14:textId="77777777" w:rsidR="00944925" w:rsidRPr="000C3268" w:rsidRDefault="00500F6F">
      <w:pPr>
        <w:pStyle w:val="Heading1"/>
        <w:spacing w:before="240"/>
        <w:rPr>
          <w:b w:val="0"/>
          <w:bCs w:val="0"/>
        </w:rPr>
      </w:pPr>
      <w:r w:rsidRPr="000C3268">
        <w:rPr>
          <w:spacing w:val="-1"/>
        </w:rPr>
        <w:t>Version history</w:t>
      </w:r>
    </w:p>
    <w:p w14:paraId="3F87139A" w14:textId="77777777" w:rsidR="00944925" w:rsidRPr="000C3268" w:rsidRDefault="00944925">
      <w:pPr>
        <w:spacing w:before="5"/>
        <w:rPr>
          <w:rFonts w:ascii="Arial" w:eastAsia="Arial" w:hAnsi="Arial" w:cs="Arial"/>
          <w:b/>
          <w:bCs/>
          <w:sz w:val="27"/>
          <w:szCs w:val="27"/>
        </w:rPr>
      </w:pPr>
    </w:p>
    <w:p w14:paraId="3C07C8A6" w14:textId="51CCA764" w:rsidR="00944925" w:rsidRDefault="00500F6F">
      <w:pPr>
        <w:pStyle w:val="BodyText"/>
        <w:spacing w:before="0"/>
        <w:ind w:left="1132" w:firstLine="0"/>
      </w:pPr>
      <w:r w:rsidRPr="000C3268">
        <w:rPr>
          <w:spacing w:val="-1"/>
        </w:rPr>
        <w:t>Last reviewed:</w:t>
      </w:r>
      <w:r w:rsidR="00CE5BFD">
        <w:rPr>
          <w:spacing w:val="3"/>
        </w:rPr>
        <w:t xml:space="preserve"> </w:t>
      </w:r>
      <w:r w:rsidR="00945672">
        <w:rPr>
          <w:spacing w:val="3"/>
        </w:rPr>
        <w:t>January 2021</w:t>
      </w:r>
      <w:bookmarkStart w:id="0" w:name="_GoBack"/>
      <w:bookmarkEnd w:id="0"/>
    </w:p>
    <w:sectPr w:rsidR="00944925">
      <w:headerReference w:type="default" r:id="rId7"/>
      <w:footerReference w:type="default" r:id="rId8"/>
      <w:pgSz w:w="11910" w:h="16840"/>
      <w:pgMar w:top="1580" w:right="0" w:bottom="780" w:left="0" w:header="0" w:footer="5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5A7B4" w14:textId="77777777" w:rsidR="00245BC5" w:rsidRDefault="00245BC5">
      <w:r>
        <w:separator/>
      </w:r>
    </w:p>
  </w:endnote>
  <w:endnote w:type="continuationSeparator" w:id="0">
    <w:p w14:paraId="189BB47C" w14:textId="77777777" w:rsidR="00245BC5" w:rsidRDefault="00245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DFDDD" w14:textId="77777777" w:rsidR="00944925" w:rsidRDefault="00245BC5">
    <w:pPr>
      <w:spacing w:line="14" w:lineRule="auto"/>
      <w:rPr>
        <w:sz w:val="20"/>
        <w:szCs w:val="20"/>
      </w:rPr>
    </w:pPr>
    <w:r>
      <w:pict w14:anchorId="3099C0EA">
        <v:shapetype id="_x0000_t202" coordsize="21600,21600" o:spt="202" path="m,l,21600r21600,l21600,xe">
          <v:stroke joinstyle="miter"/>
          <v:path gradientshapeok="t" o:connecttype="rect"/>
        </v:shapetype>
        <v:shape id="_x0000_s2049" type="#_x0000_t202" style="position:absolute;margin-left:481.4pt;margin-top:801.25pt;width:58.45pt;height:21.35pt;z-index:-3808;mso-position-horizontal-relative:page;mso-position-vertical-relative:page" filled="f" stroked="f">
          <v:textbox inset="0,0,0,0">
            <w:txbxContent>
              <w:p w14:paraId="158A99D7" w14:textId="77777777" w:rsidR="00944925" w:rsidRDefault="00500F6F">
                <w:pPr>
                  <w:pStyle w:val="BodyText"/>
                  <w:spacing w:before="0" w:line="246" w:lineRule="exact"/>
                  <w:ind w:left="20" w:firstLine="0"/>
                </w:pPr>
                <w:r>
                  <w:t>Page</w:t>
                </w:r>
                <w:r>
                  <w:rPr>
                    <w:spacing w:val="1"/>
                  </w:rPr>
                  <w:t xml:space="preserve"> </w:t>
                </w:r>
                <w:r>
                  <w:fldChar w:fldCharType="begin"/>
                </w:r>
                <w:r>
                  <w:instrText xml:space="preserve"> PAGE </w:instrText>
                </w:r>
                <w:r>
                  <w:fldChar w:fldCharType="separate"/>
                </w:r>
                <w:r w:rsidR="001F752C">
                  <w:rPr>
                    <w:noProof/>
                  </w:rPr>
                  <w:t>3</w:t>
                </w:r>
                <w:r>
                  <w:fldChar w:fldCharType="end"/>
                </w:r>
                <w:r>
                  <w:rPr>
                    <w:spacing w:val="-2"/>
                  </w:rPr>
                  <w:t xml:space="preserve"> of</w:t>
                </w:r>
                <w:r>
                  <w:rPr>
                    <w:spacing w:val="2"/>
                  </w:rPr>
                  <w:t xml:space="preserve"> </w:t>
                </w:r>
                <w:r>
                  <w:t>3</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9ADB2" w14:textId="77777777" w:rsidR="00245BC5" w:rsidRDefault="00245BC5">
      <w:r>
        <w:separator/>
      </w:r>
    </w:p>
  </w:footnote>
  <w:footnote w:type="continuationSeparator" w:id="0">
    <w:p w14:paraId="339D1250" w14:textId="77777777" w:rsidR="00245BC5" w:rsidRDefault="00245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283BF" w14:textId="77777777" w:rsidR="00944925" w:rsidRDefault="00245BC5">
    <w:pPr>
      <w:spacing w:line="14" w:lineRule="auto"/>
      <w:rPr>
        <w:sz w:val="20"/>
        <w:szCs w:val="20"/>
      </w:rPr>
    </w:pPr>
    <w:r>
      <w:pict w14:anchorId="4EB27E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595.3pt;height:79.9pt;z-index:-3832;mso-position-horizontal-relative:page;mso-position-vertical-relative:page">
          <v:imagedata r:id="rId1" o:title=""/>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114F4"/>
    <w:multiLevelType w:val="hybridMultilevel"/>
    <w:tmpl w:val="20326166"/>
    <w:lvl w:ilvl="0" w:tplc="0C090001">
      <w:start w:val="1"/>
      <w:numFmt w:val="bullet"/>
      <w:lvlText w:val=""/>
      <w:lvlJc w:val="left"/>
      <w:pPr>
        <w:ind w:left="153" w:hanging="360"/>
      </w:pPr>
      <w:rPr>
        <w:rFonts w:ascii="Symbol" w:hAnsi="Symbol" w:hint="default"/>
      </w:rPr>
    </w:lvl>
    <w:lvl w:ilvl="1" w:tplc="0C090003">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 w15:restartNumberingAfterBreak="0">
    <w:nsid w:val="3402727C"/>
    <w:multiLevelType w:val="hybridMultilevel"/>
    <w:tmpl w:val="ABA2E206"/>
    <w:lvl w:ilvl="0" w:tplc="84900372">
      <w:start w:val="1"/>
      <w:numFmt w:val="bullet"/>
      <w:lvlText w:val=""/>
      <w:lvlJc w:val="left"/>
      <w:pPr>
        <w:ind w:left="1490" w:hanging="359"/>
      </w:pPr>
      <w:rPr>
        <w:rFonts w:ascii="Symbol" w:eastAsia="Symbol" w:hAnsi="Symbol" w:hint="default"/>
        <w:sz w:val="22"/>
        <w:szCs w:val="22"/>
      </w:rPr>
    </w:lvl>
    <w:lvl w:ilvl="1" w:tplc="992A8892">
      <w:start w:val="1"/>
      <w:numFmt w:val="bullet"/>
      <w:lvlText w:val="o"/>
      <w:lvlJc w:val="left"/>
      <w:pPr>
        <w:ind w:left="1846" w:hanging="356"/>
      </w:pPr>
      <w:rPr>
        <w:rFonts w:ascii="Courier New" w:eastAsia="Courier New" w:hAnsi="Courier New" w:hint="default"/>
        <w:sz w:val="22"/>
        <w:szCs w:val="22"/>
      </w:rPr>
    </w:lvl>
    <w:lvl w:ilvl="2" w:tplc="E544242E">
      <w:start w:val="1"/>
      <w:numFmt w:val="bullet"/>
      <w:lvlText w:val="•"/>
      <w:lvlJc w:val="left"/>
      <w:pPr>
        <w:ind w:left="2963" w:hanging="356"/>
      </w:pPr>
      <w:rPr>
        <w:rFonts w:hint="default"/>
      </w:rPr>
    </w:lvl>
    <w:lvl w:ilvl="3" w:tplc="418C24E4">
      <w:start w:val="1"/>
      <w:numFmt w:val="bullet"/>
      <w:lvlText w:val="•"/>
      <w:lvlJc w:val="left"/>
      <w:pPr>
        <w:ind w:left="4081" w:hanging="356"/>
      </w:pPr>
      <w:rPr>
        <w:rFonts w:hint="default"/>
      </w:rPr>
    </w:lvl>
    <w:lvl w:ilvl="4" w:tplc="85D84232">
      <w:start w:val="1"/>
      <w:numFmt w:val="bullet"/>
      <w:lvlText w:val="•"/>
      <w:lvlJc w:val="left"/>
      <w:pPr>
        <w:ind w:left="5199" w:hanging="356"/>
      </w:pPr>
      <w:rPr>
        <w:rFonts w:hint="default"/>
      </w:rPr>
    </w:lvl>
    <w:lvl w:ilvl="5" w:tplc="FAECCE62">
      <w:start w:val="1"/>
      <w:numFmt w:val="bullet"/>
      <w:lvlText w:val="•"/>
      <w:lvlJc w:val="left"/>
      <w:pPr>
        <w:ind w:left="6317" w:hanging="356"/>
      </w:pPr>
      <w:rPr>
        <w:rFonts w:hint="default"/>
      </w:rPr>
    </w:lvl>
    <w:lvl w:ilvl="6" w:tplc="4566D304">
      <w:start w:val="1"/>
      <w:numFmt w:val="bullet"/>
      <w:lvlText w:val="•"/>
      <w:lvlJc w:val="left"/>
      <w:pPr>
        <w:ind w:left="7435" w:hanging="356"/>
      </w:pPr>
      <w:rPr>
        <w:rFonts w:hint="default"/>
      </w:rPr>
    </w:lvl>
    <w:lvl w:ilvl="7" w:tplc="BEC4EB80">
      <w:start w:val="1"/>
      <w:numFmt w:val="bullet"/>
      <w:lvlText w:val="•"/>
      <w:lvlJc w:val="left"/>
      <w:pPr>
        <w:ind w:left="8552" w:hanging="356"/>
      </w:pPr>
      <w:rPr>
        <w:rFonts w:hint="default"/>
      </w:rPr>
    </w:lvl>
    <w:lvl w:ilvl="8" w:tplc="44CA8E96">
      <w:start w:val="1"/>
      <w:numFmt w:val="bullet"/>
      <w:lvlText w:val="•"/>
      <w:lvlJc w:val="left"/>
      <w:pPr>
        <w:ind w:left="9670" w:hanging="356"/>
      </w:pPr>
      <w:rPr>
        <w:rFonts w:hint="default"/>
      </w:rPr>
    </w:lvl>
  </w:abstractNum>
  <w:abstractNum w:abstractNumId="2" w15:restartNumberingAfterBreak="0">
    <w:nsid w:val="380A05FA"/>
    <w:multiLevelType w:val="hybridMultilevel"/>
    <w:tmpl w:val="E60A9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FD34FA0"/>
    <w:multiLevelType w:val="hybridMultilevel"/>
    <w:tmpl w:val="FF62D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B92761D"/>
    <w:multiLevelType w:val="hybridMultilevel"/>
    <w:tmpl w:val="FA02E0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944925"/>
    <w:rsid w:val="000A259D"/>
    <w:rsid w:val="000C3268"/>
    <w:rsid w:val="00120ED8"/>
    <w:rsid w:val="001D6FBA"/>
    <w:rsid w:val="001F752C"/>
    <w:rsid w:val="00245BC5"/>
    <w:rsid w:val="002C3641"/>
    <w:rsid w:val="003D04D0"/>
    <w:rsid w:val="00500F6F"/>
    <w:rsid w:val="00547F81"/>
    <w:rsid w:val="006A59B7"/>
    <w:rsid w:val="00840F84"/>
    <w:rsid w:val="008F43CC"/>
    <w:rsid w:val="00944925"/>
    <w:rsid w:val="00945672"/>
    <w:rsid w:val="00946AB4"/>
    <w:rsid w:val="00997DCB"/>
    <w:rsid w:val="00BE4B33"/>
    <w:rsid w:val="00CE5BFD"/>
    <w:rsid w:val="00EA1490"/>
    <w:rsid w:val="00EA37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0482B99"/>
  <w15:docId w15:val="{7204ACD7-2531-463E-B737-5642FCC33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132"/>
      <w:outlineLvl w:val="0"/>
    </w:pPr>
    <w:rPr>
      <w:rFonts w:ascii="Arial" w:eastAsia="Arial" w:hAnsi="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0"/>
      <w:ind w:left="1490" w:hanging="358"/>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D6FBA"/>
    <w:rPr>
      <w:sz w:val="16"/>
      <w:szCs w:val="16"/>
    </w:rPr>
  </w:style>
  <w:style w:type="paragraph" w:styleId="CommentText">
    <w:name w:val="annotation text"/>
    <w:basedOn w:val="Normal"/>
    <w:link w:val="CommentTextChar"/>
    <w:uiPriority w:val="99"/>
    <w:semiHidden/>
    <w:unhideWhenUsed/>
    <w:rsid w:val="001D6FBA"/>
    <w:rPr>
      <w:sz w:val="20"/>
      <w:szCs w:val="20"/>
    </w:rPr>
  </w:style>
  <w:style w:type="character" w:customStyle="1" w:styleId="CommentTextChar">
    <w:name w:val="Comment Text Char"/>
    <w:basedOn w:val="DefaultParagraphFont"/>
    <w:link w:val="CommentText"/>
    <w:uiPriority w:val="99"/>
    <w:semiHidden/>
    <w:rsid w:val="001D6FBA"/>
    <w:rPr>
      <w:sz w:val="20"/>
      <w:szCs w:val="20"/>
    </w:rPr>
  </w:style>
  <w:style w:type="paragraph" w:styleId="CommentSubject">
    <w:name w:val="annotation subject"/>
    <w:basedOn w:val="CommentText"/>
    <w:next w:val="CommentText"/>
    <w:link w:val="CommentSubjectChar"/>
    <w:uiPriority w:val="99"/>
    <w:semiHidden/>
    <w:unhideWhenUsed/>
    <w:rsid w:val="001D6FBA"/>
    <w:rPr>
      <w:b/>
      <w:bCs/>
    </w:rPr>
  </w:style>
  <w:style w:type="character" w:customStyle="1" w:styleId="CommentSubjectChar">
    <w:name w:val="Comment Subject Char"/>
    <w:basedOn w:val="CommentTextChar"/>
    <w:link w:val="CommentSubject"/>
    <w:uiPriority w:val="99"/>
    <w:semiHidden/>
    <w:rsid w:val="001D6FBA"/>
    <w:rPr>
      <w:b/>
      <w:bCs/>
      <w:sz w:val="20"/>
      <w:szCs w:val="20"/>
    </w:rPr>
  </w:style>
  <w:style w:type="paragraph" w:styleId="BalloonText">
    <w:name w:val="Balloon Text"/>
    <w:basedOn w:val="Normal"/>
    <w:link w:val="BalloonTextChar"/>
    <w:uiPriority w:val="99"/>
    <w:semiHidden/>
    <w:unhideWhenUsed/>
    <w:rsid w:val="001D6F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F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Operational Procedure Template</vt:lpstr>
    </vt:vector>
  </TitlesOfParts>
  <Company>Queensland Government</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Procedure Template</dc:title>
  <dc:subject>online templates</dc:subject>
  <dc:creator>Queensland Government</dc:creator>
  <cp:keywords>procedure, corporate, executive, template, A4, portrait</cp:keywords>
  <cp:lastModifiedBy>Carol Strawbridge</cp:lastModifiedBy>
  <cp:revision>3</cp:revision>
  <cp:lastPrinted>2020-06-12T03:54:00Z</cp:lastPrinted>
  <dcterms:created xsi:type="dcterms:W3CDTF">2021-01-05T05:12:00Z</dcterms:created>
  <dcterms:modified xsi:type="dcterms:W3CDTF">2021-01-05T05:39:00Z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2019-09-23T00:00:00Z</vt:filetime>
  </property>
  <property fmtid="{D5CDD505-2E9C-101B-9397-08002B2CF9AE}" pid="3" name="LastSaved">
    <vt:filetime>2020-06-09T00:00:00Z</vt:filetime>
  </property>
</Properties>
</file>