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D83D3" w14:textId="097B1B96" w:rsidR="00C17738" w:rsidRPr="00C21DE1" w:rsidRDefault="00783E9B" w:rsidP="00C17738">
      <w:pPr>
        <w:jc w:val="center"/>
        <w:rPr>
          <w:b/>
          <w:bCs/>
          <w:sz w:val="40"/>
          <w:szCs w:val="40"/>
        </w:rPr>
      </w:pPr>
      <w:r w:rsidRPr="00C21DE1">
        <w:rPr>
          <w:b/>
          <w:bCs/>
          <w:sz w:val="40"/>
          <w:szCs w:val="40"/>
        </w:rPr>
        <w:t>Case reflection</w:t>
      </w:r>
      <w:r w:rsidR="00C17738" w:rsidRPr="00C21DE1">
        <w:rPr>
          <w:b/>
          <w:bCs/>
          <w:sz w:val="40"/>
          <w:szCs w:val="40"/>
        </w:rPr>
        <w:t xml:space="preserve"> </w:t>
      </w:r>
      <w:r w:rsidR="00C21DE1" w:rsidRPr="00C21DE1">
        <w:rPr>
          <w:b/>
          <w:bCs/>
          <w:sz w:val="40"/>
          <w:szCs w:val="40"/>
        </w:rPr>
        <w:t xml:space="preserve">tool - </w:t>
      </w:r>
      <w:r w:rsidR="00C17738" w:rsidRPr="00C21DE1">
        <w:rPr>
          <w:b/>
          <w:bCs/>
          <w:sz w:val="40"/>
          <w:szCs w:val="40"/>
        </w:rPr>
        <w:t>strengthen</w:t>
      </w:r>
      <w:r w:rsidR="00C21DE1" w:rsidRPr="00C21DE1">
        <w:rPr>
          <w:b/>
          <w:bCs/>
          <w:sz w:val="40"/>
          <w:szCs w:val="40"/>
        </w:rPr>
        <w:t>ing</w:t>
      </w:r>
      <w:r w:rsidR="00C17738" w:rsidRPr="00C21DE1">
        <w:rPr>
          <w:b/>
          <w:bCs/>
          <w:sz w:val="40"/>
          <w:szCs w:val="40"/>
        </w:rPr>
        <w:t xml:space="preserve"> permanency for </w:t>
      </w:r>
      <w:r w:rsidRPr="00C21DE1">
        <w:rPr>
          <w:b/>
          <w:bCs/>
          <w:sz w:val="40"/>
          <w:szCs w:val="40"/>
        </w:rPr>
        <w:t>non-</w:t>
      </w:r>
      <w:r w:rsidR="00C21DE1">
        <w:rPr>
          <w:b/>
          <w:bCs/>
          <w:sz w:val="40"/>
          <w:szCs w:val="40"/>
        </w:rPr>
        <w:t>i</w:t>
      </w:r>
      <w:r w:rsidRPr="00C21DE1">
        <w:rPr>
          <w:b/>
          <w:bCs/>
          <w:sz w:val="40"/>
          <w:szCs w:val="40"/>
        </w:rPr>
        <w:t>ndigenous children</w:t>
      </w:r>
    </w:p>
    <w:p w14:paraId="2A2A5605" w14:textId="66F208B6" w:rsidR="00BA3A1B" w:rsidRDefault="00BA3A1B" w:rsidP="00BA3A1B">
      <w:pPr>
        <w:pStyle w:val="Line"/>
      </w:pPr>
    </w:p>
    <w:p w14:paraId="5211C7C6" w14:textId="77777777" w:rsidR="00BA3A1B" w:rsidRPr="00BA3A1B" w:rsidRDefault="00BA3A1B" w:rsidP="00BA3A1B">
      <w:pPr>
        <w:rPr>
          <w:sz w:val="12"/>
          <w:szCs w:val="12"/>
        </w:rPr>
      </w:pPr>
    </w:p>
    <w:p w14:paraId="6EA1C7C1" w14:textId="6EAACFC4" w:rsidR="00DC47A9" w:rsidRPr="00BA3A1B" w:rsidRDefault="00C17738" w:rsidP="00BA3A1B">
      <w:pPr>
        <w:rPr>
          <w:b/>
          <w:bCs/>
          <w:sz w:val="28"/>
          <w:szCs w:val="32"/>
        </w:rPr>
      </w:pPr>
      <w:r w:rsidRPr="00BA3A1B">
        <w:rPr>
          <w:b/>
          <w:bCs/>
          <w:sz w:val="28"/>
          <w:szCs w:val="32"/>
        </w:rPr>
        <w:t>Purpose</w:t>
      </w:r>
    </w:p>
    <w:p w14:paraId="33A3151B" w14:textId="099168E1" w:rsidR="00DB79D2" w:rsidRPr="001D1CD3" w:rsidRDefault="00C17738" w:rsidP="00570E3F">
      <w:pPr>
        <w:rPr>
          <w:sz w:val="20"/>
          <w:szCs w:val="22"/>
        </w:rPr>
      </w:pPr>
      <w:r w:rsidRPr="001D1CD3">
        <w:rPr>
          <w:sz w:val="20"/>
          <w:szCs w:val="22"/>
        </w:rPr>
        <w:t xml:space="preserve">This tool may be used to reflect on practice when considering permanency for </w:t>
      </w:r>
      <w:r w:rsidR="00856285">
        <w:rPr>
          <w:sz w:val="20"/>
          <w:szCs w:val="22"/>
        </w:rPr>
        <w:t xml:space="preserve">a </w:t>
      </w:r>
      <w:r w:rsidR="00783E9B" w:rsidRPr="001D1CD3">
        <w:rPr>
          <w:sz w:val="20"/>
          <w:szCs w:val="22"/>
        </w:rPr>
        <w:t>non-</w:t>
      </w:r>
      <w:r w:rsidR="00856285">
        <w:rPr>
          <w:sz w:val="20"/>
          <w:szCs w:val="22"/>
        </w:rPr>
        <w:t>i</w:t>
      </w:r>
      <w:r w:rsidR="00783E9B" w:rsidRPr="001D1CD3">
        <w:rPr>
          <w:sz w:val="20"/>
          <w:szCs w:val="22"/>
        </w:rPr>
        <w:t>ndigenous</w:t>
      </w:r>
      <w:r w:rsidRPr="001D1CD3">
        <w:rPr>
          <w:sz w:val="20"/>
          <w:szCs w:val="22"/>
        </w:rPr>
        <w:t xml:space="preserve"> child</w:t>
      </w:r>
      <w:r w:rsidR="00DB79D2" w:rsidRPr="001D1CD3">
        <w:rPr>
          <w:sz w:val="20"/>
          <w:szCs w:val="22"/>
        </w:rPr>
        <w:t>.</w:t>
      </w:r>
      <w:r w:rsidRPr="001D1CD3">
        <w:rPr>
          <w:sz w:val="20"/>
          <w:szCs w:val="22"/>
        </w:rPr>
        <w:t xml:space="preserve"> This could occur in supervision, case consultations and practice panels. It is suitable for use with children who are in the custody or guardianship of the chief executive. </w:t>
      </w:r>
      <w:r w:rsidR="00783E9B" w:rsidRPr="001D1CD3">
        <w:rPr>
          <w:sz w:val="20"/>
          <w:szCs w:val="22"/>
        </w:rPr>
        <w:t>It considers the</w:t>
      </w:r>
      <w:r w:rsidRPr="001D1CD3">
        <w:rPr>
          <w:sz w:val="20"/>
          <w:szCs w:val="22"/>
        </w:rPr>
        <w:t xml:space="preserve"> three dimensions of permanency: relational, </w:t>
      </w:r>
      <w:proofErr w:type="gramStart"/>
      <w:r w:rsidRPr="001D1CD3">
        <w:rPr>
          <w:sz w:val="20"/>
          <w:szCs w:val="22"/>
        </w:rPr>
        <w:t>physical</w:t>
      </w:r>
      <w:proofErr w:type="gramEnd"/>
      <w:r w:rsidRPr="001D1CD3">
        <w:rPr>
          <w:sz w:val="20"/>
          <w:szCs w:val="22"/>
        </w:rPr>
        <w:t xml:space="preserve"> and legal</w:t>
      </w:r>
      <w:r w:rsidR="00783E9B" w:rsidRPr="001D1CD3">
        <w:rPr>
          <w:sz w:val="20"/>
          <w:szCs w:val="22"/>
        </w:rPr>
        <w:t xml:space="preserve"> along with case planning</w:t>
      </w:r>
      <w:r w:rsidRPr="001D1CD3">
        <w:rPr>
          <w:sz w:val="20"/>
          <w:szCs w:val="22"/>
        </w:rPr>
        <w:t>.</w:t>
      </w:r>
      <w:r w:rsidR="001D1CD3" w:rsidRPr="001D1CD3">
        <w:rPr>
          <w:sz w:val="20"/>
          <w:szCs w:val="22"/>
        </w:rPr>
        <w:t xml:space="preserve"> The four domains of inquiry are used to reflect on the progress of permanency planning.</w:t>
      </w:r>
    </w:p>
    <w:p w14:paraId="71BAAEED" w14:textId="06065A0A" w:rsidR="00393A23" w:rsidRPr="00F5496A" w:rsidRDefault="00393A23" w:rsidP="00EC0538">
      <w:pPr>
        <w:rPr>
          <w:sz w:val="12"/>
          <w:szCs w:val="12"/>
        </w:rPr>
      </w:pPr>
    </w:p>
    <w:tbl>
      <w:tblPr>
        <w:tblStyle w:val="TableGridLight"/>
        <w:tblW w:w="14474" w:type="dxa"/>
        <w:tblBorders>
          <w:top w:val="none" w:sz="0" w:space="0" w:color="auto"/>
          <w:left w:val="none" w:sz="0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3481"/>
      </w:tblGrid>
      <w:tr w:rsidR="00BA3A1B" w:rsidRPr="00F5496A" w14:paraId="5683319E" w14:textId="77777777" w:rsidTr="0005552D">
        <w:trPr>
          <w:trHeight w:val="402"/>
        </w:trPr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54772D2E" w14:textId="732FE78C" w:rsidR="00BA3A1B" w:rsidRPr="00F5496A" w:rsidRDefault="00BA3A1B" w:rsidP="007B3647">
            <w:pPr>
              <w:pStyle w:val="TableHead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81" w:type="dxa"/>
            <w:tcBorders>
              <w:bottom w:val="nil"/>
            </w:tcBorders>
            <w:shd w:val="clear" w:color="auto" w:fill="1F497D" w:themeFill="text2"/>
          </w:tcPr>
          <w:p w14:paraId="43CE258C" w14:textId="216F9571" w:rsidR="00BA3A1B" w:rsidRPr="00F5496A" w:rsidRDefault="00F5496A" w:rsidP="007B3647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F549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When practice is at its </w:t>
            </w:r>
            <w:proofErr w:type="gramStart"/>
            <w:r w:rsidRPr="00F549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best</w:t>
            </w:r>
            <w:proofErr w:type="gramEnd"/>
            <w:r w:rsidRPr="00F549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we would see:</w:t>
            </w:r>
          </w:p>
        </w:tc>
      </w:tr>
      <w:tr w:rsidR="00BA3A1B" w:rsidRPr="00F5496A" w14:paraId="7A09DAF2" w14:textId="77777777" w:rsidTr="0005552D">
        <w:trPr>
          <w:cantSplit/>
          <w:trHeight w:val="113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8064A2" w:themeFill="accent4"/>
            <w:textDirection w:val="btLr"/>
          </w:tcPr>
          <w:p w14:paraId="0213585D" w14:textId="1BB31AED" w:rsidR="00BA3A1B" w:rsidRPr="00F5496A" w:rsidRDefault="00BA3A1B" w:rsidP="00F5496A">
            <w:pPr>
              <w:pStyle w:val="TableText"/>
              <w:ind w:left="113" w:right="113"/>
              <w:rPr>
                <w:rFonts w:cs="Arial"/>
                <w:color w:val="FFFFFF" w:themeColor="background1"/>
                <w:sz w:val="20"/>
              </w:rPr>
            </w:pPr>
            <w:r w:rsidRPr="00F5496A">
              <w:rPr>
                <w:rFonts w:cs="Arial"/>
                <w:color w:val="FFFFFF" w:themeColor="background1"/>
                <w:sz w:val="20"/>
              </w:rPr>
              <w:t>Relational Permanency</w:t>
            </w:r>
          </w:p>
        </w:tc>
        <w:tc>
          <w:tcPr>
            <w:tcW w:w="13481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6D0AA9DD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case planning to support a child to have a strong, well-developed sense of connection, belonging and wellbeing</w:t>
            </w:r>
          </w:p>
          <w:p w14:paraId="4D237540" w14:textId="77777777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the needs of the child clearly and accurately identified</w:t>
            </w:r>
          </w:p>
          <w:p w14:paraId="6455FCBA" w14:textId="6652B66F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the voice of the child is expressed and considered (to the extent possible for their age and development)</w:t>
            </w:r>
          </w:p>
          <w:p w14:paraId="51CD5BAA" w14:textId="77777777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opportunities for parents, family and members of the safety and support network to participate in planning and decision making</w:t>
            </w:r>
          </w:p>
          <w:p w14:paraId="4E425868" w14:textId="32CAE699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safe family connection time</w:t>
            </w:r>
            <w:r w:rsidR="00C21DE1" w:rsidRPr="00C21DE1">
              <w:rPr>
                <w:rFonts w:cs="Arial"/>
                <w:sz w:val="20"/>
                <w:szCs w:val="20"/>
              </w:rPr>
              <w:t xml:space="preserve"> (family contact)</w:t>
            </w:r>
            <w:r w:rsidRPr="00C21DE1">
              <w:rPr>
                <w:rFonts w:cs="Arial"/>
                <w:sz w:val="20"/>
                <w:szCs w:val="20"/>
              </w:rPr>
              <w:t xml:space="preserve"> is occurring for the child with their parents to strengthen connections</w:t>
            </w:r>
          </w:p>
          <w:p w14:paraId="62466AD7" w14:textId="54777EDE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 xml:space="preserve">meaningful and regular opportunities for the child to connect to siblings, parents, kin, </w:t>
            </w:r>
            <w:proofErr w:type="gramStart"/>
            <w:r w:rsidRPr="00C21DE1">
              <w:rPr>
                <w:rFonts w:cs="Arial"/>
                <w:sz w:val="20"/>
                <w:szCs w:val="20"/>
              </w:rPr>
              <w:t>carers</w:t>
            </w:r>
            <w:proofErr w:type="gramEnd"/>
            <w:r w:rsidRPr="00C21DE1">
              <w:rPr>
                <w:rFonts w:cs="Arial"/>
                <w:sz w:val="20"/>
                <w:szCs w:val="20"/>
              </w:rPr>
              <w:t xml:space="preserve"> and significant others</w:t>
            </w:r>
          </w:p>
          <w:p w14:paraId="427DAADF" w14:textId="77777777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an up-to-date, accessible genogram and/or kinship map in the child’s current ongoing intervention event and case plan</w:t>
            </w:r>
          </w:p>
          <w:p w14:paraId="6A111503" w14:textId="38370BC2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 xml:space="preserve">identification of opportunities for family members to be involved, outside of providing a care arrangement (for example: facilitate family </w:t>
            </w:r>
            <w:r w:rsidR="00C21DE1" w:rsidRPr="00C21DE1">
              <w:rPr>
                <w:rFonts w:cs="Arial"/>
                <w:sz w:val="20"/>
                <w:szCs w:val="20"/>
              </w:rPr>
              <w:t xml:space="preserve">connection </w:t>
            </w:r>
            <w:r w:rsidRPr="00C21DE1">
              <w:rPr>
                <w:rFonts w:cs="Arial"/>
                <w:sz w:val="20"/>
                <w:szCs w:val="20"/>
              </w:rPr>
              <w:t>time</w:t>
            </w:r>
            <w:r w:rsidR="00C21DE1" w:rsidRPr="00C21DE1">
              <w:rPr>
                <w:rFonts w:cs="Arial"/>
                <w:sz w:val="20"/>
                <w:szCs w:val="20"/>
              </w:rPr>
              <w:t xml:space="preserve"> (family contact)</w:t>
            </w:r>
            <w:r w:rsidRPr="00C21DE1">
              <w:rPr>
                <w:rFonts w:cs="Arial"/>
                <w:sz w:val="20"/>
                <w:szCs w:val="20"/>
              </w:rPr>
              <w:t>, take the child to family occasions, cultural story telling)</w:t>
            </w:r>
          </w:p>
          <w:p w14:paraId="370D31C8" w14:textId="77777777" w:rsidR="00F5496A" w:rsidRPr="00C21DE1" w:rsidRDefault="00BA3A1B" w:rsidP="001D1CD3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 xml:space="preserve">recognise, </w:t>
            </w:r>
            <w:proofErr w:type="gramStart"/>
            <w:r w:rsidRPr="00C21DE1">
              <w:rPr>
                <w:rFonts w:cs="Arial"/>
                <w:sz w:val="20"/>
                <w:szCs w:val="20"/>
              </w:rPr>
              <w:t>acknowledge</w:t>
            </w:r>
            <w:proofErr w:type="gramEnd"/>
            <w:r w:rsidRPr="00C21DE1">
              <w:rPr>
                <w:rFonts w:cs="Arial"/>
                <w:sz w:val="20"/>
                <w:szCs w:val="20"/>
              </w:rPr>
              <w:t xml:space="preserve"> and respond to the child’s spirituality and cultural connections</w:t>
            </w:r>
          </w:p>
          <w:p w14:paraId="77D679C1" w14:textId="159CAFB3" w:rsidR="0005552D" w:rsidRPr="00F5496A" w:rsidRDefault="0005552D" w:rsidP="0005552D">
            <w:pPr>
              <w:pStyle w:val="ListParagraph"/>
              <w:ind w:left="464"/>
              <w:rPr>
                <w:rFonts w:cs="Arial"/>
                <w:sz w:val="20"/>
                <w:szCs w:val="20"/>
              </w:rPr>
            </w:pPr>
          </w:p>
        </w:tc>
      </w:tr>
      <w:tr w:rsidR="00BA3A1B" w:rsidRPr="00F5496A" w14:paraId="71FED437" w14:textId="77777777" w:rsidTr="0005552D">
        <w:trPr>
          <w:cantSplit/>
          <w:trHeight w:val="113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textDirection w:val="btLr"/>
          </w:tcPr>
          <w:p w14:paraId="045AFEF6" w14:textId="4185E661" w:rsidR="00BA3A1B" w:rsidRPr="00F5496A" w:rsidRDefault="00BA3A1B" w:rsidP="00F5496A">
            <w:pPr>
              <w:pStyle w:val="TableText"/>
              <w:ind w:left="113" w:right="113"/>
              <w:rPr>
                <w:rFonts w:cs="Arial"/>
                <w:color w:val="FFFFFF" w:themeColor="background1"/>
                <w:sz w:val="20"/>
              </w:rPr>
            </w:pPr>
            <w:r w:rsidRPr="00F5496A">
              <w:rPr>
                <w:rFonts w:cs="Arial"/>
                <w:color w:val="FFFFFF" w:themeColor="background1"/>
                <w:sz w:val="20"/>
              </w:rPr>
              <w:t>Physical Permanency</w:t>
            </w:r>
          </w:p>
        </w:tc>
        <w:tc>
          <w:tcPr>
            <w:tcW w:w="1348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457C642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 xml:space="preserve">case planning with a strong, well-developed focus on safety and stability </w:t>
            </w:r>
          </w:p>
          <w:p w14:paraId="565DA6A5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care arrangements with kin wherever possible</w:t>
            </w:r>
          </w:p>
          <w:p w14:paraId="61CEEB85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ongoing activity to progress potential kinship carer assessments</w:t>
            </w:r>
          </w:p>
          <w:p w14:paraId="5A2E3684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 xml:space="preserve">a stable care arrangement that meets the child’s developmental, health, emotional, </w:t>
            </w:r>
            <w:proofErr w:type="gramStart"/>
            <w:r w:rsidRPr="00F5496A">
              <w:rPr>
                <w:rFonts w:cs="Arial"/>
                <w:sz w:val="20"/>
                <w:szCs w:val="20"/>
              </w:rPr>
              <w:t>cultural</w:t>
            </w:r>
            <w:proofErr w:type="gramEnd"/>
            <w:r w:rsidRPr="00F5496A">
              <w:rPr>
                <w:rFonts w:cs="Arial"/>
                <w:sz w:val="20"/>
                <w:szCs w:val="20"/>
              </w:rPr>
              <w:t xml:space="preserve"> and physical needs </w:t>
            </w:r>
          </w:p>
          <w:p w14:paraId="39EE40B1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carers supported to meet the child’s needs, including complex needs</w:t>
            </w:r>
          </w:p>
          <w:p w14:paraId="04349EDF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the child’s views and wishes about where they would like to live are taken into consideration</w:t>
            </w:r>
          </w:p>
          <w:p w14:paraId="71BF78F2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the child is informed and consulted about care arrangement plans</w:t>
            </w:r>
          </w:p>
          <w:p w14:paraId="598FD4FF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parental participation in decision making about care arrangements and care needs</w:t>
            </w:r>
          </w:p>
          <w:p w14:paraId="7DEB28DA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consideration has been made to reunite siblings who are in different care arrangements</w:t>
            </w:r>
          </w:p>
          <w:p w14:paraId="418B3AD1" w14:textId="77777777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 xml:space="preserve">careful and </w:t>
            </w:r>
            <w:r w:rsidRPr="00C21DE1">
              <w:rPr>
                <w:rFonts w:cs="Arial"/>
                <w:sz w:val="20"/>
                <w:szCs w:val="20"/>
              </w:rPr>
              <w:t xml:space="preserve">considered transitions between care arrangements </w:t>
            </w:r>
          </w:p>
          <w:p w14:paraId="155C3513" w14:textId="77777777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 xml:space="preserve">ongoing connection between the child and their local community including school, employment, </w:t>
            </w:r>
            <w:proofErr w:type="gramStart"/>
            <w:r w:rsidRPr="00C21DE1">
              <w:rPr>
                <w:rFonts w:cs="Arial"/>
                <w:sz w:val="20"/>
                <w:szCs w:val="20"/>
              </w:rPr>
              <w:t>child care</w:t>
            </w:r>
            <w:proofErr w:type="gramEnd"/>
            <w:r w:rsidRPr="00C21DE1">
              <w:rPr>
                <w:rFonts w:cs="Arial"/>
                <w:sz w:val="20"/>
                <w:szCs w:val="20"/>
              </w:rPr>
              <w:t>, community activities and health care</w:t>
            </w:r>
          </w:p>
          <w:p w14:paraId="0D6CE8E1" w14:textId="2CFD3C3F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the carer as a partner in the care of the child and a member of the safety and support network</w:t>
            </w:r>
          </w:p>
          <w:p w14:paraId="262EC473" w14:textId="77777777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purposeful discussions with carers about their capacity to provide longer term care or support transitional arrangements</w:t>
            </w:r>
          </w:p>
          <w:p w14:paraId="6B3338E8" w14:textId="5C782707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regular review of placement agreements</w:t>
            </w:r>
          </w:p>
          <w:p w14:paraId="31F3D353" w14:textId="19E9F09F" w:rsidR="00F5496A" w:rsidRPr="001D1CD3" w:rsidRDefault="00B363DC" w:rsidP="00F5496A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s</w:t>
            </w:r>
            <w:r w:rsidR="00BA3A1B" w:rsidRPr="00C21DE1">
              <w:rPr>
                <w:rFonts w:cs="Arial"/>
                <w:sz w:val="20"/>
                <w:szCs w:val="20"/>
              </w:rPr>
              <w:t xml:space="preserve">tandards of </w:t>
            </w:r>
            <w:r w:rsidRPr="00C21DE1">
              <w:rPr>
                <w:rFonts w:cs="Arial"/>
                <w:sz w:val="20"/>
                <w:szCs w:val="20"/>
              </w:rPr>
              <w:t>care concerns</w:t>
            </w:r>
            <w:r w:rsidR="00BA3A1B" w:rsidRPr="00C21DE1">
              <w:rPr>
                <w:rFonts w:cs="Arial"/>
                <w:sz w:val="20"/>
                <w:szCs w:val="20"/>
              </w:rPr>
              <w:t xml:space="preserve"> addressed in a timely way</w:t>
            </w:r>
          </w:p>
        </w:tc>
      </w:tr>
      <w:tr w:rsidR="00BA3A1B" w:rsidRPr="00F5496A" w14:paraId="03DE4B8E" w14:textId="77777777" w:rsidTr="0005552D">
        <w:trPr>
          <w:cantSplit/>
          <w:trHeight w:val="113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extDirection w:val="btLr"/>
          </w:tcPr>
          <w:p w14:paraId="7903E207" w14:textId="1D5CF86A" w:rsidR="00BA3A1B" w:rsidRPr="00F5496A" w:rsidRDefault="00BA3A1B" w:rsidP="00BA3A1B">
            <w:pPr>
              <w:ind w:left="113" w:right="113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F5496A">
              <w:rPr>
                <w:rFonts w:cs="Arial"/>
                <w:color w:val="FFFFFF" w:themeColor="background1"/>
                <w:sz w:val="20"/>
                <w:szCs w:val="20"/>
              </w:rPr>
              <w:lastRenderedPageBreak/>
              <w:t>Legal Permanency</w:t>
            </w:r>
          </w:p>
        </w:tc>
        <w:tc>
          <w:tcPr>
            <w:tcW w:w="13481" w:type="dxa"/>
            <w:tcBorders>
              <w:top w:val="nil"/>
              <w:left w:val="nil"/>
              <w:bottom w:val="nil"/>
              <w:right w:val="nil"/>
            </w:tcBorders>
            <w:shd w:val="clear" w:color="auto" w:fill="FFF5D5"/>
          </w:tcPr>
          <w:p w14:paraId="02238754" w14:textId="2C06E563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 xml:space="preserve">case planning with a strong focus on providing a </w:t>
            </w:r>
            <w:r w:rsidRPr="00C21DE1">
              <w:rPr>
                <w:rFonts w:cs="Arial"/>
                <w:sz w:val="20"/>
                <w:szCs w:val="20"/>
              </w:rPr>
              <w:t>child with lifelong stability</w:t>
            </w:r>
            <w:r w:rsidRPr="00F5496A">
              <w:rPr>
                <w:rFonts w:cs="Arial"/>
                <w:sz w:val="20"/>
                <w:szCs w:val="20"/>
              </w:rPr>
              <w:t xml:space="preserve"> and security</w:t>
            </w:r>
          </w:p>
          <w:p w14:paraId="280B4795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engagement and ongoing participation by the family and others in collaborative planning to inform decision making</w:t>
            </w:r>
          </w:p>
          <w:p w14:paraId="53C5DD19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 xml:space="preserve">information gathering achieved through active engagement with child, family, carers, relevant </w:t>
            </w:r>
            <w:proofErr w:type="gramStart"/>
            <w:r w:rsidRPr="00F5496A">
              <w:rPr>
                <w:rFonts w:cs="Arial"/>
                <w:sz w:val="20"/>
                <w:szCs w:val="20"/>
              </w:rPr>
              <w:t>agencies</w:t>
            </w:r>
            <w:proofErr w:type="gramEnd"/>
            <w:r w:rsidRPr="00F5496A">
              <w:rPr>
                <w:rFonts w:cs="Arial"/>
                <w:sz w:val="20"/>
                <w:szCs w:val="20"/>
              </w:rPr>
              <w:t xml:space="preserve"> and support services</w:t>
            </w:r>
          </w:p>
          <w:p w14:paraId="68BFDAE0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 xml:space="preserve">regular review and robust analysis of previous and current safety and risk factors </w:t>
            </w:r>
          </w:p>
          <w:p w14:paraId="233CB891" w14:textId="4E092B74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robust</w:t>
            </w:r>
            <w:r w:rsidR="00B363DC">
              <w:rPr>
                <w:rFonts w:cs="Arial"/>
                <w:sz w:val="20"/>
                <w:szCs w:val="20"/>
              </w:rPr>
              <w:t>,</w:t>
            </w:r>
            <w:r w:rsidRPr="00F5496A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F5496A">
              <w:rPr>
                <w:rFonts w:cs="Arial"/>
                <w:sz w:val="20"/>
                <w:szCs w:val="20"/>
              </w:rPr>
              <w:t>transparent</w:t>
            </w:r>
            <w:proofErr w:type="gramEnd"/>
            <w:r w:rsidRPr="00F5496A">
              <w:rPr>
                <w:rFonts w:cs="Arial"/>
                <w:sz w:val="20"/>
                <w:szCs w:val="20"/>
              </w:rPr>
              <w:t xml:space="preserve"> and collaborative decision making about reunification</w:t>
            </w:r>
          </w:p>
          <w:p w14:paraId="6B814972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 xml:space="preserve">parents know their rights and have access to legal advice </w:t>
            </w:r>
          </w:p>
          <w:p w14:paraId="59EB9226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 xml:space="preserve">identification and assessment of kin as potential guardians </w:t>
            </w:r>
          </w:p>
          <w:p w14:paraId="3D529FD6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identification and assessment of other suitable persons as guardians where kin are not available</w:t>
            </w:r>
          </w:p>
          <w:p w14:paraId="25CA9B07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 xml:space="preserve">thoughtful application of statutory authority by practitioners to ensure a secure, </w:t>
            </w:r>
            <w:proofErr w:type="gramStart"/>
            <w:r w:rsidRPr="00F5496A">
              <w:rPr>
                <w:rFonts w:cs="Arial"/>
                <w:sz w:val="20"/>
                <w:szCs w:val="20"/>
              </w:rPr>
              <w:t>stable</w:t>
            </w:r>
            <w:proofErr w:type="gramEnd"/>
            <w:r w:rsidRPr="00F5496A">
              <w:rPr>
                <w:rFonts w:cs="Arial"/>
                <w:sz w:val="20"/>
                <w:szCs w:val="20"/>
              </w:rPr>
              <w:t xml:space="preserve"> and responsive legal arrangement which enables the safe care of the child</w:t>
            </w:r>
          </w:p>
          <w:p w14:paraId="68AA1D8D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all legal options are explored and considered to ensure the most appropriate arrangement is pursued</w:t>
            </w:r>
          </w:p>
          <w:p w14:paraId="7548088B" w14:textId="50D4F235" w:rsidR="00BA3A1B" w:rsidRPr="00F5496A" w:rsidRDefault="00BA3A1B" w:rsidP="00F5496A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>the child protection order is the least intrusive to meet the child’s care and protection needs</w:t>
            </w:r>
          </w:p>
          <w:p w14:paraId="25031F8E" w14:textId="77724182" w:rsidR="00F5496A" w:rsidRPr="00F5496A" w:rsidRDefault="00F5496A" w:rsidP="00F5496A">
            <w:pPr>
              <w:rPr>
                <w:rFonts w:cs="Arial"/>
                <w:sz w:val="20"/>
                <w:szCs w:val="20"/>
              </w:rPr>
            </w:pPr>
          </w:p>
        </w:tc>
      </w:tr>
      <w:tr w:rsidR="00BA3A1B" w:rsidRPr="00F5496A" w14:paraId="0DAAAF1F" w14:textId="77777777" w:rsidTr="0005552D">
        <w:trPr>
          <w:cantSplit/>
          <w:trHeight w:val="113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extDirection w:val="btLr"/>
          </w:tcPr>
          <w:p w14:paraId="73B065EB" w14:textId="516C3276" w:rsidR="00BA3A1B" w:rsidRPr="00F5496A" w:rsidRDefault="00BA3A1B" w:rsidP="00BA3A1B">
            <w:pPr>
              <w:ind w:left="113" w:right="113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F5496A">
              <w:rPr>
                <w:rFonts w:cs="Arial"/>
                <w:color w:val="FFFFFF" w:themeColor="background1"/>
                <w:sz w:val="20"/>
                <w:szCs w:val="20"/>
              </w:rPr>
              <w:t>Case Planning</w:t>
            </w:r>
          </w:p>
        </w:tc>
        <w:tc>
          <w:tcPr>
            <w:tcW w:w="1348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58E5E148" w14:textId="145CB8C4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F5496A">
              <w:rPr>
                <w:rFonts w:cs="Arial"/>
                <w:sz w:val="20"/>
                <w:szCs w:val="20"/>
              </w:rPr>
              <w:t xml:space="preserve">responsive, </w:t>
            </w:r>
            <w:proofErr w:type="gramStart"/>
            <w:r w:rsidRPr="00F5496A">
              <w:rPr>
                <w:rFonts w:cs="Arial"/>
                <w:sz w:val="20"/>
                <w:szCs w:val="20"/>
              </w:rPr>
              <w:t>transparent</w:t>
            </w:r>
            <w:proofErr w:type="gramEnd"/>
            <w:r w:rsidRPr="00F5496A">
              <w:rPr>
                <w:rFonts w:cs="Arial"/>
                <w:sz w:val="20"/>
                <w:szCs w:val="20"/>
              </w:rPr>
              <w:t xml:space="preserve"> and timely case planning, using family-led decision making principles and processes which promote the meaningful participation </w:t>
            </w:r>
            <w:r w:rsidRPr="00C21DE1">
              <w:rPr>
                <w:rFonts w:cs="Arial"/>
                <w:sz w:val="20"/>
                <w:szCs w:val="20"/>
              </w:rPr>
              <w:t>and active involvement of the child, family, carers, relevant agencies</w:t>
            </w:r>
            <w:r w:rsidR="00B363DC" w:rsidRPr="00C21DE1">
              <w:rPr>
                <w:rFonts w:cs="Arial"/>
                <w:sz w:val="20"/>
                <w:szCs w:val="20"/>
              </w:rPr>
              <w:t>,</w:t>
            </w:r>
            <w:r w:rsidRPr="00C21DE1">
              <w:rPr>
                <w:rFonts w:cs="Arial"/>
                <w:sz w:val="20"/>
                <w:szCs w:val="20"/>
              </w:rPr>
              <w:t xml:space="preserve"> and support services</w:t>
            </w:r>
          </w:p>
          <w:p w14:paraId="06006366" w14:textId="02E5BBFC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concurrent planning for reunification and a stable long</w:t>
            </w:r>
            <w:r w:rsidR="00B363DC" w:rsidRPr="00C21DE1">
              <w:rPr>
                <w:rFonts w:cs="Arial"/>
                <w:sz w:val="20"/>
                <w:szCs w:val="20"/>
              </w:rPr>
              <w:t>-</w:t>
            </w:r>
            <w:r w:rsidRPr="00C21DE1">
              <w:rPr>
                <w:rFonts w:cs="Arial"/>
                <w:sz w:val="20"/>
                <w:szCs w:val="20"/>
              </w:rPr>
              <w:t>term alternative is clearly visible in the case plan (for children on short</w:t>
            </w:r>
            <w:r w:rsidR="00B363DC" w:rsidRPr="00C21DE1">
              <w:rPr>
                <w:rFonts w:cs="Arial"/>
                <w:sz w:val="20"/>
                <w:szCs w:val="20"/>
              </w:rPr>
              <w:t>-</w:t>
            </w:r>
            <w:r w:rsidRPr="00C21DE1">
              <w:rPr>
                <w:rFonts w:cs="Arial"/>
                <w:sz w:val="20"/>
                <w:szCs w:val="20"/>
              </w:rPr>
              <w:t>term orders or interim orders prior to a long</w:t>
            </w:r>
            <w:r w:rsidR="00B363DC" w:rsidRPr="00C21DE1">
              <w:rPr>
                <w:rFonts w:cs="Arial"/>
                <w:sz w:val="20"/>
                <w:szCs w:val="20"/>
              </w:rPr>
              <w:t>-</w:t>
            </w:r>
            <w:r w:rsidRPr="00C21DE1">
              <w:rPr>
                <w:rFonts w:cs="Arial"/>
                <w:sz w:val="20"/>
                <w:szCs w:val="20"/>
              </w:rPr>
              <w:t>term order being made</w:t>
            </w:r>
            <w:r w:rsidR="00B363DC" w:rsidRPr="00C21DE1">
              <w:rPr>
                <w:rFonts w:cs="Arial"/>
                <w:sz w:val="20"/>
                <w:szCs w:val="20"/>
              </w:rPr>
              <w:t>)</w:t>
            </w:r>
          </w:p>
          <w:p w14:paraId="57F1E42B" w14:textId="171209FB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 xml:space="preserve">for children </w:t>
            </w:r>
            <w:r w:rsidR="00B363DC" w:rsidRPr="00C21DE1">
              <w:rPr>
                <w:rFonts w:cs="Arial"/>
                <w:sz w:val="20"/>
                <w:szCs w:val="20"/>
              </w:rPr>
              <w:t>in the long-term guardianship of the chief executive, the</w:t>
            </w:r>
            <w:r w:rsidRPr="00C21DE1">
              <w:rPr>
                <w:rFonts w:cs="Arial"/>
                <w:sz w:val="20"/>
                <w:szCs w:val="20"/>
              </w:rPr>
              <w:t xml:space="preserve"> case plan reflects goals and actions to strengthen relational, physical, and legal permanency</w:t>
            </w:r>
          </w:p>
          <w:p w14:paraId="75CB3496" w14:textId="77777777" w:rsidR="00BA3A1B" w:rsidRPr="00C21DE1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active and purposeful information gathering to ensure that knowledge of the child and family is current and accurate</w:t>
            </w:r>
          </w:p>
          <w:p w14:paraId="0FAD5F13" w14:textId="77777777" w:rsidR="00BA3A1B" w:rsidRPr="00F5496A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C21DE1">
              <w:rPr>
                <w:rFonts w:cs="Arial"/>
                <w:sz w:val="20"/>
                <w:szCs w:val="20"/>
              </w:rPr>
              <w:t>an up-to-date genogram and/or kinship map in</w:t>
            </w:r>
            <w:r w:rsidRPr="00F5496A">
              <w:rPr>
                <w:rFonts w:cs="Arial"/>
                <w:sz w:val="20"/>
                <w:szCs w:val="20"/>
              </w:rPr>
              <w:t xml:space="preserve"> the case plan</w:t>
            </w:r>
          </w:p>
          <w:p w14:paraId="092503B1" w14:textId="77777777" w:rsidR="00BA3A1B" w:rsidRPr="00383BE9" w:rsidRDefault="00BA3A1B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383BE9">
              <w:rPr>
                <w:rFonts w:cs="Arial"/>
                <w:sz w:val="20"/>
                <w:szCs w:val="20"/>
              </w:rPr>
              <w:t xml:space="preserve">involvement of services that respond to a child and family’s needs </w:t>
            </w:r>
          </w:p>
          <w:p w14:paraId="6C0B6215" w14:textId="656371C6" w:rsidR="00BA3A1B" w:rsidRPr="00383BE9" w:rsidRDefault="00B363DC" w:rsidP="00BA3A1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383BE9">
              <w:rPr>
                <w:rFonts w:cs="Arial"/>
                <w:sz w:val="20"/>
                <w:szCs w:val="20"/>
              </w:rPr>
              <w:t>the f</w:t>
            </w:r>
            <w:r w:rsidR="00BA3A1B" w:rsidRPr="00383BE9">
              <w:rPr>
                <w:rFonts w:cs="Arial"/>
                <w:sz w:val="20"/>
                <w:szCs w:val="20"/>
              </w:rPr>
              <w:t xml:space="preserve">amily </w:t>
            </w:r>
            <w:r w:rsidRPr="00383BE9">
              <w:rPr>
                <w:rFonts w:cs="Arial"/>
                <w:sz w:val="20"/>
                <w:szCs w:val="20"/>
              </w:rPr>
              <w:t>r</w:t>
            </w:r>
            <w:r w:rsidR="00BA3A1B" w:rsidRPr="00383BE9">
              <w:rPr>
                <w:rFonts w:cs="Arial"/>
                <w:sz w:val="20"/>
                <w:szCs w:val="20"/>
              </w:rPr>
              <w:t xml:space="preserve">eunification </w:t>
            </w:r>
            <w:r w:rsidRPr="00383BE9">
              <w:rPr>
                <w:rFonts w:cs="Arial"/>
                <w:sz w:val="20"/>
                <w:szCs w:val="20"/>
              </w:rPr>
              <w:t>a</w:t>
            </w:r>
            <w:r w:rsidR="00BA3A1B" w:rsidRPr="00383BE9">
              <w:rPr>
                <w:rFonts w:cs="Arial"/>
                <w:sz w:val="20"/>
                <w:szCs w:val="20"/>
              </w:rPr>
              <w:t xml:space="preserve">ssessment is completed </w:t>
            </w:r>
            <w:r w:rsidR="004C5587">
              <w:rPr>
                <w:rFonts w:cs="Arial"/>
                <w:sz w:val="20"/>
                <w:szCs w:val="20"/>
              </w:rPr>
              <w:t xml:space="preserve">prior to a </w:t>
            </w:r>
            <w:r w:rsidR="00BA3A1B" w:rsidRPr="00383BE9">
              <w:rPr>
                <w:rFonts w:cs="Arial"/>
                <w:sz w:val="20"/>
                <w:szCs w:val="20"/>
              </w:rPr>
              <w:t>long</w:t>
            </w:r>
            <w:r w:rsidRPr="00383BE9">
              <w:rPr>
                <w:rFonts w:cs="Arial"/>
                <w:sz w:val="20"/>
                <w:szCs w:val="20"/>
              </w:rPr>
              <w:t>-</w:t>
            </w:r>
            <w:r w:rsidR="00BA3A1B" w:rsidRPr="00383BE9">
              <w:rPr>
                <w:rFonts w:cs="Arial"/>
                <w:sz w:val="20"/>
                <w:szCs w:val="20"/>
              </w:rPr>
              <w:t>term order being made</w:t>
            </w:r>
          </w:p>
          <w:p w14:paraId="162D398F" w14:textId="77777777" w:rsidR="00BA3A1B" w:rsidRPr="00F5496A" w:rsidRDefault="00BA3A1B" w:rsidP="00F5496A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383BE9">
              <w:rPr>
                <w:rFonts w:cs="Arial"/>
                <w:sz w:val="20"/>
                <w:szCs w:val="20"/>
              </w:rPr>
              <w:t>efforts made to maximise the</w:t>
            </w:r>
            <w:r w:rsidRPr="00F5496A">
              <w:rPr>
                <w:rFonts w:cs="Arial"/>
                <w:sz w:val="20"/>
                <w:szCs w:val="20"/>
              </w:rPr>
              <w:t xml:space="preserve"> opportunity for safe and timely reunification</w:t>
            </w:r>
          </w:p>
          <w:p w14:paraId="5142E07B" w14:textId="6EB7A476" w:rsidR="00F5496A" w:rsidRPr="00F5496A" w:rsidRDefault="00F5496A" w:rsidP="00F5496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0112AE" w14:textId="439F02F1" w:rsidR="00BA3A1B" w:rsidRDefault="00BA3A1B" w:rsidP="000F7D70">
      <w:pPr>
        <w:pStyle w:val="Line"/>
      </w:pPr>
    </w:p>
    <w:p w14:paraId="4640A7CD" w14:textId="660E8CCC" w:rsidR="00BA3A1B" w:rsidRDefault="00BA3A1B" w:rsidP="000F7D70">
      <w:pPr>
        <w:pStyle w:val="Line"/>
      </w:pPr>
    </w:p>
    <w:p w14:paraId="573C616C" w14:textId="42725AFB" w:rsidR="00F5496A" w:rsidRDefault="00F5496A">
      <w:pPr>
        <w:rPr>
          <w:sz w:val="12"/>
          <w:szCs w:val="20"/>
        </w:rPr>
      </w:pPr>
      <w:r>
        <w:br w:type="page"/>
      </w:r>
    </w:p>
    <w:p w14:paraId="6BFDB662" w14:textId="7F4AB898" w:rsidR="00BA3A1B" w:rsidRDefault="00BA3A1B" w:rsidP="00F5496A">
      <w:pPr>
        <w:pStyle w:val="Line"/>
        <w:pBdr>
          <w:bottom w:val="none" w:sz="0" w:space="0" w:color="auto"/>
        </w:pBdr>
      </w:pPr>
    </w:p>
    <w:tbl>
      <w:tblPr>
        <w:tblStyle w:val="TableGrid"/>
        <w:tblW w:w="14459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366"/>
        <w:gridCol w:w="3367"/>
        <w:gridCol w:w="3366"/>
        <w:gridCol w:w="3367"/>
      </w:tblGrid>
      <w:tr w:rsidR="00F5496A" w:rsidRPr="00C73010" w14:paraId="2D7C8AF8" w14:textId="77777777" w:rsidTr="0005552D">
        <w:trPr>
          <w:cantSplit/>
          <w:trHeight w:val="560"/>
        </w:trPr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91E876" w14:textId="77777777" w:rsidR="00BA3A1B" w:rsidRPr="00F5496A" w:rsidRDefault="00BA3A1B" w:rsidP="00F5496A">
            <w:pPr>
              <w:rPr>
                <w:rFonts w:cs="Calibri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646" w:themeFill="accent6"/>
          </w:tcPr>
          <w:p w14:paraId="148FE4F1" w14:textId="77777777" w:rsidR="00BA3A1B" w:rsidRPr="00C73010" w:rsidRDefault="00BA3A1B" w:rsidP="007842F2">
            <w:pPr>
              <w:rPr>
                <w:rFonts w:cs="Calibri"/>
                <w:color w:val="FFFFFF" w:themeColor="background1"/>
                <w:szCs w:val="20"/>
              </w:rPr>
            </w:pPr>
            <w:r w:rsidRPr="00C73010">
              <w:rPr>
                <w:rFonts w:cs="Calibri"/>
                <w:color w:val="FFFFFF" w:themeColor="background1"/>
                <w:szCs w:val="20"/>
              </w:rPr>
              <w:t>What is working well?</w:t>
            </w:r>
          </w:p>
        </w:tc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504D" w:themeFill="accent2"/>
          </w:tcPr>
          <w:p w14:paraId="6F4E9E81" w14:textId="77777777" w:rsidR="00BA3A1B" w:rsidRPr="00C73010" w:rsidRDefault="00BA3A1B" w:rsidP="007842F2">
            <w:pPr>
              <w:rPr>
                <w:rFonts w:cs="Calibri"/>
                <w:color w:val="FFFFFF" w:themeColor="background1"/>
                <w:szCs w:val="20"/>
              </w:rPr>
            </w:pPr>
            <w:r w:rsidRPr="00C73010">
              <w:rPr>
                <w:rFonts w:cs="Calibri"/>
                <w:color w:val="FFFFFF" w:themeColor="background1"/>
                <w:szCs w:val="20"/>
              </w:rPr>
              <w:t>What are we worried about?</w:t>
            </w: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 w:themeFill="accent3"/>
          </w:tcPr>
          <w:p w14:paraId="3623BA78" w14:textId="77777777" w:rsidR="00BA3A1B" w:rsidRPr="00C73010" w:rsidRDefault="00BA3A1B" w:rsidP="007842F2">
            <w:pPr>
              <w:rPr>
                <w:rFonts w:cs="Calibri"/>
                <w:color w:val="FFFFFF" w:themeColor="background1"/>
                <w:szCs w:val="20"/>
              </w:rPr>
            </w:pPr>
            <w:r w:rsidRPr="00C73010">
              <w:rPr>
                <w:rFonts w:cs="Calibri"/>
                <w:color w:val="FFFFFF" w:themeColor="background1"/>
                <w:szCs w:val="20"/>
              </w:rPr>
              <w:t>Where are we now? (Scale)</w:t>
            </w:r>
          </w:p>
        </w:tc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 w:themeFill="accent5"/>
          </w:tcPr>
          <w:p w14:paraId="13B54DF6" w14:textId="77777777" w:rsidR="00BA3A1B" w:rsidRPr="00C73010" w:rsidRDefault="00BA3A1B" w:rsidP="007842F2">
            <w:pPr>
              <w:rPr>
                <w:rFonts w:cs="Calibri"/>
                <w:color w:val="FFFFFF" w:themeColor="background1"/>
                <w:szCs w:val="20"/>
              </w:rPr>
            </w:pPr>
            <w:r w:rsidRPr="00C73010">
              <w:rPr>
                <w:rFonts w:cs="Calibri"/>
                <w:color w:val="FFFFFF" w:themeColor="background1"/>
                <w:szCs w:val="20"/>
              </w:rPr>
              <w:t>Next Steps</w:t>
            </w:r>
          </w:p>
        </w:tc>
      </w:tr>
      <w:tr w:rsidR="00F5496A" w:rsidRPr="00276170" w14:paraId="40710066" w14:textId="77777777" w:rsidTr="0005552D">
        <w:trPr>
          <w:cantSplit/>
          <w:trHeight w:val="2101"/>
        </w:trPr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64A2" w:themeFill="accent4"/>
            <w:textDirection w:val="btLr"/>
          </w:tcPr>
          <w:p w14:paraId="1DEC1334" w14:textId="77777777" w:rsidR="00BA3A1B" w:rsidRPr="00F5496A" w:rsidRDefault="00BA3A1B" w:rsidP="007842F2">
            <w:pPr>
              <w:ind w:left="113" w:right="113"/>
              <w:rPr>
                <w:rFonts w:cs="Calibri"/>
                <w:color w:val="FFFFFF" w:themeColor="background1"/>
                <w:sz w:val="24"/>
              </w:rPr>
            </w:pPr>
            <w:r w:rsidRPr="00F5496A">
              <w:rPr>
                <w:rFonts w:cs="Calibri"/>
                <w:color w:val="FFFFFF" w:themeColor="background1"/>
                <w:sz w:val="24"/>
              </w:rPr>
              <w:t>Relational Permanency</w:t>
            </w: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 w:themeFill="accent6" w:themeFillTint="33"/>
          </w:tcPr>
          <w:p w14:paraId="04A973D5" w14:textId="77777777" w:rsidR="00BA3A1B" w:rsidRPr="00276170" w:rsidRDefault="00BA3A1B" w:rsidP="007842F2">
            <w:pPr>
              <w:rPr>
                <w:rFonts w:cs="Calibri"/>
                <w:color w:val="31849B" w:themeColor="accent5" w:themeShade="BF"/>
                <w:sz w:val="24"/>
              </w:rPr>
            </w:pPr>
          </w:p>
        </w:tc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 w:themeFill="accent2" w:themeFillTint="33"/>
          </w:tcPr>
          <w:p w14:paraId="73CD5FDC" w14:textId="77777777" w:rsidR="00BA3A1B" w:rsidRPr="00276170" w:rsidRDefault="00BA3A1B" w:rsidP="007842F2">
            <w:pPr>
              <w:rPr>
                <w:rFonts w:cs="Calibri"/>
                <w:color w:val="31849B" w:themeColor="accent5" w:themeShade="BF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</w:tcPr>
          <w:p w14:paraId="28E35E94" w14:textId="77777777" w:rsidR="00BA3A1B" w:rsidRPr="00276170" w:rsidRDefault="00BA3A1B" w:rsidP="007842F2">
            <w:pPr>
              <w:rPr>
                <w:rFonts w:cs="Calibri"/>
                <w:color w:val="31849B" w:themeColor="accent5" w:themeShade="BF"/>
                <w:sz w:val="24"/>
              </w:rPr>
            </w:pPr>
          </w:p>
        </w:tc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 w:themeFill="accent5" w:themeFillTint="33"/>
          </w:tcPr>
          <w:p w14:paraId="35B01DB9" w14:textId="77777777" w:rsidR="00BA3A1B" w:rsidRPr="00276170" w:rsidRDefault="00BA3A1B" w:rsidP="007842F2">
            <w:pPr>
              <w:rPr>
                <w:rFonts w:cs="Calibri"/>
                <w:color w:val="31849B" w:themeColor="accent5" w:themeShade="BF"/>
                <w:sz w:val="24"/>
              </w:rPr>
            </w:pPr>
          </w:p>
        </w:tc>
      </w:tr>
      <w:tr w:rsidR="00F5496A" w:rsidRPr="00276170" w14:paraId="16FB8C6D" w14:textId="77777777" w:rsidTr="0005552D">
        <w:trPr>
          <w:cantSplit/>
          <w:trHeight w:val="1973"/>
        </w:trPr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 w:themeFill="accent1"/>
            <w:textDirection w:val="btLr"/>
          </w:tcPr>
          <w:p w14:paraId="4A2919C1" w14:textId="77777777" w:rsidR="00BA3A1B" w:rsidRPr="00F5496A" w:rsidRDefault="00BA3A1B" w:rsidP="007842F2">
            <w:pPr>
              <w:ind w:left="113" w:right="113"/>
              <w:rPr>
                <w:rFonts w:cs="Calibri"/>
                <w:color w:val="FFFFFF" w:themeColor="background1"/>
                <w:sz w:val="20"/>
              </w:rPr>
            </w:pPr>
            <w:r w:rsidRPr="00F5496A">
              <w:rPr>
                <w:rFonts w:cs="Calibri"/>
                <w:color w:val="FFFFFF" w:themeColor="background1"/>
                <w:sz w:val="24"/>
                <w:szCs w:val="28"/>
              </w:rPr>
              <w:t>Physical Permanency</w:t>
            </w: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 w:themeFill="accent6" w:themeFillTint="33"/>
          </w:tcPr>
          <w:p w14:paraId="25CDCCA5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 w:themeFill="accent2" w:themeFillTint="33"/>
          </w:tcPr>
          <w:p w14:paraId="63308D03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</w:tcPr>
          <w:p w14:paraId="589E9956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 w:themeFill="accent5" w:themeFillTint="33"/>
          </w:tcPr>
          <w:p w14:paraId="576D4BA3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</w:tr>
      <w:tr w:rsidR="00F5496A" w:rsidRPr="00276170" w14:paraId="60BEB6A1" w14:textId="77777777" w:rsidTr="0005552D">
        <w:trPr>
          <w:cantSplit/>
          <w:trHeight w:val="1974"/>
        </w:trPr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extDirection w:val="btLr"/>
          </w:tcPr>
          <w:p w14:paraId="4B46EDC4" w14:textId="77777777" w:rsidR="00BA3A1B" w:rsidRPr="00F5496A" w:rsidRDefault="00BA3A1B" w:rsidP="007842F2">
            <w:pPr>
              <w:ind w:left="113" w:right="113"/>
              <w:rPr>
                <w:rFonts w:cs="Calibri"/>
                <w:color w:val="FFFFFF" w:themeColor="background1"/>
                <w:sz w:val="20"/>
              </w:rPr>
            </w:pPr>
            <w:r w:rsidRPr="00F5496A">
              <w:rPr>
                <w:rFonts w:cs="Calibri"/>
                <w:color w:val="FFFFFF" w:themeColor="background1"/>
                <w:sz w:val="24"/>
                <w:szCs w:val="28"/>
              </w:rPr>
              <w:t>Legal Permanency</w:t>
            </w: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 w:themeFill="accent6" w:themeFillTint="33"/>
          </w:tcPr>
          <w:p w14:paraId="7B1C4C92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 w:themeFill="accent2" w:themeFillTint="33"/>
          </w:tcPr>
          <w:p w14:paraId="07B26B1D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</w:tcPr>
          <w:p w14:paraId="62C3E491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 w:themeFill="accent5" w:themeFillTint="33"/>
          </w:tcPr>
          <w:p w14:paraId="10246EE3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</w:tr>
      <w:tr w:rsidR="00F5496A" w:rsidRPr="00276170" w14:paraId="3B61E6B3" w14:textId="77777777" w:rsidTr="0005552D">
        <w:trPr>
          <w:cantSplit/>
          <w:trHeight w:val="1988"/>
        </w:trPr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 w:themeFill="accent5"/>
            <w:textDirection w:val="btLr"/>
          </w:tcPr>
          <w:p w14:paraId="0F713939" w14:textId="51B7CBC6" w:rsidR="00BA3A1B" w:rsidRPr="00F5496A" w:rsidRDefault="00BA3A1B" w:rsidP="007842F2">
            <w:pPr>
              <w:ind w:left="113" w:right="113"/>
              <w:rPr>
                <w:rFonts w:cs="Calibri"/>
                <w:color w:val="FFFFFF" w:themeColor="background1"/>
                <w:sz w:val="24"/>
                <w:szCs w:val="28"/>
              </w:rPr>
            </w:pPr>
            <w:r w:rsidRPr="00F5496A">
              <w:rPr>
                <w:rFonts w:cs="Calibri"/>
                <w:color w:val="FFFFFF" w:themeColor="background1"/>
                <w:sz w:val="24"/>
                <w:szCs w:val="28"/>
              </w:rPr>
              <w:t>Case Planning</w:t>
            </w: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 w:themeFill="accent6" w:themeFillTint="33"/>
          </w:tcPr>
          <w:p w14:paraId="05AD076B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 w:themeFill="accent2" w:themeFillTint="33"/>
          </w:tcPr>
          <w:p w14:paraId="5A0240D4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</w:tcPr>
          <w:p w14:paraId="237DDE42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 w:themeFill="accent5" w:themeFillTint="33"/>
          </w:tcPr>
          <w:p w14:paraId="2EC44A44" w14:textId="77777777" w:rsidR="00BA3A1B" w:rsidRPr="00276170" w:rsidRDefault="00BA3A1B" w:rsidP="007842F2">
            <w:pPr>
              <w:rPr>
                <w:rFonts w:cs="Calibri"/>
                <w:sz w:val="20"/>
              </w:rPr>
            </w:pPr>
          </w:p>
        </w:tc>
      </w:tr>
    </w:tbl>
    <w:p w14:paraId="7098AE1B" w14:textId="2C5C2AA3" w:rsidR="00BA3A1B" w:rsidRDefault="00BA3A1B" w:rsidP="000F7D70">
      <w:pPr>
        <w:pStyle w:val="Line"/>
      </w:pPr>
    </w:p>
    <w:p w14:paraId="7319E625" w14:textId="77777777" w:rsidR="00BA3A1B" w:rsidRPr="000F7D70" w:rsidRDefault="00BA3A1B" w:rsidP="000F7D70">
      <w:pPr>
        <w:pStyle w:val="Line"/>
      </w:pPr>
    </w:p>
    <w:p w14:paraId="415DFAE8" w14:textId="77777777" w:rsidR="008A1936" w:rsidRPr="008A1936" w:rsidRDefault="008A1936" w:rsidP="008A1936"/>
    <w:p w14:paraId="147447D5" w14:textId="4BF46429" w:rsidR="00026331" w:rsidRPr="00F5496A" w:rsidRDefault="00026331" w:rsidP="00F5496A">
      <w:pPr>
        <w:rPr>
          <w:b/>
          <w:bCs/>
          <w:sz w:val="28"/>
          <w:szCs w:val="32"/>
        </w:rPr>
      </w:pPr>
      <w:r w:rsidRPr="00F5496A">
        <w:rPr>
          <w:b/>
          <w:bCs/>
          <w:sz w:val="28"/>
          <w:szCs w:val="32"/>
        </w:rPr>
        <w:t>Version history</w:t>
      </w:r>
    </w:p>
    <w:p w14:paraId="3B438E53" w14:textId="77777777" w:rsidR="00026331" w:rsidRPr="00CF42D6" w:rsidRDefault="00026331" w:rsidP="00026331"/>
    <w:p w14:paraId="0C429FA7" w14:textId="49671F67" w:rsidR="00F5496A" w:rsidRPr="006431BA" w:rsidRDefault="00F5496A" w:rsidP="00F5496A">
      <w:pPr>
        <w:tabs>
          <w:tab w:val="left" w:pos="1985"/>
        </w:tabs>
      </w:pPr>
      <w:r w:rsidRPr="006431BA">
        <w:t>Published:</w:t>
      </w:r>
      <w:r>
        <w:tab/>
      </w:r>
      <w:r w:rsidR="0005552D">
        <w:t>September 2021</w:t>
      </w:r>
    </w:p>
    <w:p w14:paraId="3F2BF33A" w14:textId="77777777" w:rsidR="00F5496A" w:rsidRDefault="00F5496A" w:rsidP="00F5496A">
      <w:pPr>
        <w:tabs>
          <w:tab w:val="left" w:pos="1985"/>
        </w:tabs>
      </w:pPr>
    </w:p>
    <w:p w14:paraId="7FE71F33" w14:textId="27847996" w:rsidR="00F5496A" w:rsidRPr="006431BA" w:rsidRDefault="00F5496A" w:rsidP="00F5496A">
      <w:pPr>
        <w:tabs>
          <w:tab w:val="left" w:pos="1985"/>
        </w:tabs>
      </w:pPr>
      <w:r w:rsidRPr="006431BA">
        <w:t>Last reviewed:</w:t>
      </w:r>
      <w:r>
        <w:tab/>
      </w:r>
      <w:r w:rsidR="0005552D">
        <w:t>September 2021</w:t>
      </w:r>
    </w:p>
    <w:p w14:paraId="2B43F6DF" w14:textId="77777777" w:rsidR="00DC47A9" w:rsidRPr="00F5496A" w:rsidRDefault="00DC47A9" w:rsidP="00450932"/>
    <w:sectPr w:rsidR="00DC47A9" w:rsidRPr="00F5496A" w:rsidSect="001D1C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701" w:bottom="993" w:left="851" w:header="709" w:footer="40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410FB" w14:textId="77777777" w:rsidR="00E02577" w:rsidRDefault="00E02577">
      <w:r>
        <w:separator/>
      </w:r>
    </w:p>
  </w:endnote>
  <w:endnote w:type="continuationSeparator" w:id="0">
    <w:p w14:paraId="05D18D25" w14:textId="77777777" w:rsidR="00E02577" w:rsidRDefault="00E0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5DDB6" w14:textId="77777777" w:rsidR="00B363DC" w:rsidRDefault="00B36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Arial"/>
      </w:rPr>
      <w:id w:val="-120478795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7DFF6F" w14:textId="012C8504" w:rsidR="0005552D" w:rsidRDefault="0005552D" w:rsidP="00F5496A">
            <w:pPr>
              <w:pStyle w:val="Footer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4C805311" w14:textId="248901A6" w:rsidR="00F5496A" w:rsidRPr="0005552D" w:rsidRDefault="0005552D" w:rsidP="00F5496A">
            <w:pPr>
              <w:pStyle w:val="Footer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F5496A" w:rsidRPr="0005552D">
              <w:rPr>
                <w:rFonts w:cs="Arial"/>
              </w:rPr>
              <w:t xml:space="preserve">Page </w:t>
            </w:r>
            <w:r w:rsidR="00F5496A" w:rsidRPr="0005552D">
              <w:rPr>
                <w:rFonts w:cs="Arial"/>
                <w:bCs/>
                <w:sz w:val="24"/>
              </w:rPr>
              <w:fldChar w:fldCharType="begin"/>
            </w:r>
            <w:r w:rsidR="00F5496A" w:rsidRPr="0005552D">
              <w:rPr>
                <w:rFonts w:cs="Arial"/>
                <w:bCs/>
              </w:rPr>
              <w:instrText xml:space="preserve"> PAGE </w:instrText>
            </w:r>
            <w:r w:rsidR="00F5496A" w:rsidRPr="0005552D">
              <w:rPr>
                <w:rFonts w:cs="Arial"/>
                <w:bCs/>
                <w:sz w:val="24"/>
              </w:rPr>
              <w:fldChar w:fldCharType="separate"/>
            </w:r>
            <w:r w:rsidR="00F5496A" w:rsidRPr="0005552D">
              <w:rPr>
                <w:rFonts w:cs="Arial"/>
                <w:bCs/>
                <w:sz w:val="24"/>
              </w:rPr>
              <w:t>1</w:t>
            </w:r>
            <w:r w:rsidR="00F5496A" w:rsidRPr="0005552D">
              <w:rPr>
                <w:rFonts w:cs="Arial"/>
                <w:bCs/>
                <w:sz w:val="24"/>
              </w:rPr>
              <w:fldChar w:fldCharType="end"/>
            </w:r>
            <w:r w:rsidR="00F5496A" w:rsidRPr="0005552D">
              <w:rPr>
                <w:rFonts w:cs="Arial"/>
              </w:rPr>
              <w:t xml:space="preserve"> of </w:t>
            </w:r>
            <w:r w:rsidR="00F5496A" w:rsidRPr="0005552D">
              <w:rPr>
                <w:rFonts w:cs="Arial"/>
                <w:bCs/>
                <w:sz w:val="24"/>
              </w:rPr>
              <w:fldChar w:fldCharType="begin"/>
            </w:r>
            <w:r w:rsidR="00F5496A" w:rsidRPr="0005552D">
              <w:rPr>
                <w:rFonts w:cs="Arial"/>
                <w:bCs/>
              </w:rPr>
              <w:instrText xml:space="preserve"> NUMPAGES  </w:instrText>
            </w:r>
            <w:r w:rsidR="00F5496A" w:rsidRPr="0005552D">
              <w:rPr>
                <w:rFonts w:cs="Arial"/>
                <w:bCs/>
                <w:sz w:val="24"/>
              </w:rPr>
              <w:fldChar w:fldCharType="separate"/>
            </w:r>
            <w:r w:rsidR="00F5496A" w:rsidRPr="0005552D">
              <w:rPr>
                <w:rFonts w:cs="Arial"/>
                <w:bCs/>
                <w:sz w:val="24"/>
              </w:rPr>
              <w:t>3</w:t>
            </w:r>
            <w:r w:rsidR="00F5496A" w:rsidRPr="0005552D">
              <w:rPr>
                <w:rFonts w:cs="Arial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7559F" w14:textId="77777777" w:rsidR="00B363DC" w:rsidRDefault="00B36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31B53" w14:textId="77777777" w:rsidR="00E02577" w:rsidRDefault="00E02577">
      <w:r>
        <w:separator/>
      </w:r>
    </w:p>
  </w:footnote>
  <w:footnote w:type="continuationSeparator" w:id="0">
    <w:p w14:paraId="24894953" w14:textId="77777777" w:rsidR="00E02577" w:rsidRDefault="00E0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232C5" w14:textId="77777777" w:rsidR="00B363DC" w:rsidRDefault="00B36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3BEC4" w14:textId="0448E94C" w:rsidR="009E1C14" w:rsidRDefault="00BA3A1B">
    <w:r>
      <w:rPr>
        <w:noProof/>
      </w:rPr>
      <w:drawing>
        <wp:anchor distT="0" distB="0" distL="114300" distR="114300" simplePos="0" relativeHeight="251659264" behindDoc="1" locked="1" layoutInCell="1" allowOverlap="1" wp14:anchorId="72BB96C5" wp14:editId="13ABB22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1495" cy="11049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 Factsheet Land-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49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6E1C0" w14:textId="77777777" w:rsidR="00B363DC" w:rsidRDefault="00B36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40" type="#_x0000_t75" style="width:129.15pt;height:119.5pt" o:bullet="t">
        <v:imagedata r:id="rId1" o:title="Relational no background"/>
      </v:shape>
    </w:pict>
  </w:numPicBullet>
  <w:numPicBullet w:numPicBulletId="1">
    <w:pict>
      <v:shape id="_x0000_i2641" type="#_x0000_t75" style="width:95.75pt;height:87.6pt" o:bullet="t">
        <v:imagedata r:id="rId2" o:title="physical no background"/>
      </v:shape>
    </w:pict>
  </w:numPicBullet>
  <w:numPicBullet w:numPicBulletId="2">
    <w:pict>
      <v:shape id="_x0000_i2642" type="#_x0000_t75" style="width:95.75pt;height:87.6pt" o:bullet="t">
        <v:imagedata r:id="rId3" o:title="legal no background"/>
      </v:shape>
    </w:pict>
  </w:numPicBullet>
  <w:abstractNum w:abstractNumId="0" w15:restartNumberingAfterBreak="0">
    <w:nsid w:val="FFFFFF7C"/>
    <w:multiLevelType w:val="singleLevel"/>
    <w:tmpl w:val="6B12F5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B251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285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CEB8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14D2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307A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D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7A4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F48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B80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16234"/>
    <w:multiLevelType w:val="multilevel"/>
    <w:tmpl w:val="404627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24A55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3B01F4"/>
    <w:multiLevelType w:val="hybridMultilevel"/>
    <w:tmpl w:val="2954C464"/>
    <w:lvl w:ilvl="0" w:tplc="C08A0F2E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  <w:color w:val="4BACC6" w:themeColor="accent5"/>
      </w:rPr>
    </w:lvl>
    <w:lvl w:ilvl="1" w:tplc="0C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3" w15:restartNumberingAfterBreak="0">
    <w:nsid w:val="231A5574"/>
    <w:multiLevelType w:val="multilevel"/>
    <w:tmpl w:val="0C09001D"/>
    <w:styleLink w:val="Number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E43647"/>
    <w:multiLevelType w:val="hybridMultilevel"/>
    <w:tmpl w:val="40C4FF38"/>
    <w:lvl w:ilvl="0" w:tplc="AFBC6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A7F6D"/>
    <w:multiLevelType w:val="multilevel"/>
    <w:tmpl w:val="BB8210E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2" w:hanging="2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65512BD"/>
    <w:multiLevelType w:val="hybridMultilevel"/>
    <w:tmpl w:val="5F32840A"/>
    <w:lvl w:ilvl="0" w:tplc="F1563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B6B4427"/>
    <w:multiLevelType w:val="multilevel"/>
    <w:tmpl w:val="AD1EEE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1429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3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00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5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5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2" w:hanging="357"/>
      </w:pPr>
      <w:rPr>
        <w:rFonts w:ascii="Wingdings" w:hAnsi="Wingdings" w:hint="default"/>
      </w:rPr>
    </w:lvl>
  </w:abstractNum>
  <w:abstractNum w:abstractNumId="18" w15:restartNumberingAfterBreak="0">
    <w:nsid w:val="3C4A3548"/>
    <w:multiLevelType w:val="multilevel"/>
    <w:tmpl w:val="7E7E32E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D42D8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61E2E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B05BC5"/>
    <w:multiLevelType w:val="hybridMultilevel"/>
    <w:tmpl w:val="404627F6"/>
    <w:lvl w:ilvl="0" w:tplc="86D04F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822ADA"/>
    <w:multiLevelType w:val="multilevel"/>
    <w:tmpl w:val="C48474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7B21892"/>
    <w:multiLevelType w:val="multilevel"/>
    <w:tmpl w:val="D32A8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E021A1"/>
    <w:multiLevelType w:val="hybridMultilevel"/>
    <w:tmpl w:val="90A0B6FA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75853A55"/>
    <w:multiLevelType w:val="multilevel"/>
    <w:tmpl w:val="AD1EEE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1429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3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00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5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5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2" w:hanging="357"/>
      </w:pPr>
      <w:rPr>
        <w:rFonts w:ascii="Wingdings" w:hAnsi="Wingdings" w:hint="default"/>
      </w:rPr>
    </w:lvl>
  </w:abstractNum>
  <w:abstractNum w:abstractNumId="26" w15:restartNumberingAfterBreak="0">
    <w:nsid w:val="75AD306F"/>
    <w:multiLevelType w:val="multilevel"/>
    <w:tmpl w:val="404627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313BF0"/>
    <w:multiLevelType w:val="hybridMultilevel"/>
    <w:tmpl w:val="66CC3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D6F70"/>
    <w:multiLevelType w:val="multilevel"/>
    <w:tmpl w:val="0C09001D"/>
    <w:numStyleLink w:val="Style1"/>
  </w:abstractNum>
  <w:abstractNum w:abstractNumId="29" w15:restartNumberingAfterBreak="0">
    <w:nsid w:val="79F576E9"/>
    <w:multiLevelType w:val="multilevel"/>
    <w:tmpl w:val="4120F93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35" w:hanging="358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D0D2E5A"/>
    <w:multiLevelType w:val="hybridMultilevel"/>
    <w:tmpl w:val="C3866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B2E7C"/>
    <w:multiLevelType w:val="multilevel"/>
    <w:tmpl w:val="0C09001D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21"/>
  </w:num>
  <w:num w:numId="3">
    <w:abstractNumId w:val="26"/>
  </w:num>
  <w:num w:numId="4">
    <w:abstractNumId w:val="25"/>
  </w:num>
  <w:num w:numId="5">
    <w:abstractNumId w:val="22"/>
  </w:num>
  <w:num w:numId="6">
    <w:abstractNumId w:val="10"/>
  </w:num>
  <w:num w:numId="7">
    <w:abstractNumId w:val="17"/>
  </w:num>
  <w:num w:numId="8">
    <w:abstractNumId w:val="31"/>
  </w:num>
  <w:num w:numId="9">
    <w:abstractNumId w:val="29"/>
  </w:num>
  <w:num w:numId="10">
    <w:abstractNumId w:val="13"/>
  </w:num>
  <w:num w:numId="11">
    <w:abstractNumId w:val="28"/>
  </w:num>
  <w:num w:numId="12">
    <w:abstractNumId w:val="20"/>
  </w:num>
  <w:num w:numId="13">
    <w:abstractNumId w:val="11"/>
  </w:num>
  <w:num w:numId="14">
    <w:abstractNumId w:val="15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</w:num>
  <w:num w:numId="30">
    <w:abstractNumId w:val="27"/>
  </w:num>
  <w:num w:numId="31">
    <w:abstractNumId w:val="12"/>
  </w:num>
  <w:num w:numId="32">
    <w:abstractNumId w:val="1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59"/>
    <w:rsid w:val="00000764"/>
    <w:rsid w:val="000020B0"/>
    <w:rsid w:val="00005B69"/>
    <w:rsid w:val="00005F2E"/>
    <w:rsid w:val="000063E7"/>
    <w:rsid w:val="00006DEA"/>
    <w:rsid w:val="00010B78"/>
    <w:rsid w:val="0001147A"/>
    <w:rsid w:val="000119C1"/>
    <w:rsid w:val="00012064"/>
    <w:rsid w:val="00013EDB"/>
    <w:rsid w:val="00014907"/>
    <w:rsid w:val="00014D8B"/>
    <w:rsid w:val="0001502E"/>
    <w:rsid w:val="000156A3"/>
    <w:rsid w:val="000156D7"/>
    <w:rsid w:val="00017A6C"/>
    <w:rsid w:val="00020AE5"/>
    <w:rsid w:val="0002320A"/>
    <w:rsid w:val="000253BB"/>
    <w:rsid w:val="000254AC"/>
    <w:rsid w:val="00025A5B"/>
    <w:rsid w:val="00026331"/>
    <w:rsid w:val="0002752A"/>
    <w:rsid w:val="000318F2"/>
    <w:rsid w:val="00031AB2"/>
    <w:rsid w:val="00031E75"/>
    <w:rsid w:val="0003274A"/>
    <w:rsid w:val="00033768"/>
    <w:rsid w:val="00035510"/>
    <w:rsid w:val="00041261"/>
    <w:rsid w:val="000442EB"/>
    <w:rsid w:val="000528FC"/>
    <w:rsid w:val="00053E8F"/>
    <w:rsid w:val="00053F80"/>
    <w:rsid w:val="00054F95"/>
    <w:rsid w:val="0005552D"/>
    <w:rsid w:val="00055EA0"/>
    <w:rsid w:val="000570F3"/>
    <w:rsid w:val="000610EA"/>
    <w:rsid w:val="000612C8"/>
    <w:rsid w:val="00061396"/>
    <w:rsid w:val="00062951"/>
    <w:rsid w:val="00063617"/>
    <w:rsid w:val="00063F4D"/>
    <w:rsid w:val="000654DB"/>
    <w:rsid w:val="00065B95"/>
    <w:rsid w:val="0006791E"/>
    <w:rsid w:val="00070336"/>
    <w:rsid w:val="000708C2"/>
    <w:rsid w:val="0007559F"/>
    <w:rsid w:val="0007574E"/>
    <w:rsid w:val="00077D38"/>
    <w:rsid w:val="000823C3"/>
    <w:rsid w:val="000829FC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A1A2A"/>
    <w:rsid w:val="000A38B5"/>
    <w:rsid w:val="000A4A30"/>
    <w:rsid w:val="000A5675"/>
    <w:rsid w:val="000A627A"/>
    <w:rsid w:val="000A6BEA"/>
    <w:rsid w:val="000A6DA1"/>
    <w:rsid w:val="000A7406"/>
    <w:rsid w:val="000A749B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0F7D70"/>
    <w:rsid w:val="00100220"/>
    <w:rsid w:val="00102380"/>
    <w:rsid w:val="001023B6"/>
    <w:rsid w:val="00103E62"/>
    <w:rsid w:val="0010628E"/>
    <w:rsid w:val="00106CAC"/>
    <w:rsid w:val="00110F7A"/>
    <w:rsid w:val="0011106E"/>
    <w:rsid w:val="0011517B"/>
    <w:rsid w:val="00115766"/>
    <w:rsid w:val="00115E04"/>
    <w:rsid w:val="00117319"/>
    <w:rsid w:val="001173AF"/>
    <w:rsid w:val="0012169B"/>
    <w:rsid w:val="0012336C"/>
    <w:rsid w:val="00125A9E"/>
    <w:rsid w:val="00125F1D"/>
    <w:rsid w:val="00127308"/>
    <w:rsid w:val="00130032"/>
    <w:rsid w:val="00130C1C"/>
    <w:rsid w:val="0013294E"/>
    <w:rsid w:val="00133095"/>
    <w:rsid w:val="0013414A"/>
    <w:rsid w:val="0013444A"/>
    <w:rsid w:val="00135734"/>
    <w:rsid w:val="0013646B"/>
    <w:rsid w:val="00137F97"/>
    <w:rsid w:val="00142536"/>
    <w:rsid w:val="0014308D"/>
    <w:rsid w:val="001432B5"/>
    <w:rsid w:val="00144301"/>
    <w:rsid w:val="0014580A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3422"/>
    <w:rsid w:val="0018452C"/>
    <w:rsid w:val="0018468F"/>
    <w:rsid w:val="00184986"/>
    <w:rsid w:val="00184D78"/>
    <w:rsid w:val="00186D60"/>
    <w:rsid w:val="00190BDD"/>
    <w:rsid w:val="001920CF"/>
    <w:rsid w:val="00192503"/>
    <w:rsid w:val="001946C8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7FD2"/>
    <w:rsid w:val="001C0B09"/>
    <w:rsid w:val="001C213E"/>
    <w:rsid w:val="001C47C9"/>
    <w:rsid w:val="001C5775"/>
    <w:rsid w:val="001C7A7C"/>
    <w:rsid w:val="001D15F1"/>
    <w:rsid w:val="001D1CD3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884"/>
    <w:rsid w:val="001F7A51"/>
    <w:rsid w:val="00200C30"/>
    <w:rsid w:val="00202FF5"/>
    <w:rsid w:val="0020536F"/>
    <w:rsid w:val="002056E6"/>
    <w:rsid w:val="00205967"/>
    <w:rsid w:val="0020637E"/>
    <w:rsid w:val="00206CED"/>
    <w:rsid w:val="00213E3F"/>
    <w:rsid w:val="002140B9"/>
    <w:rsid w:val="002203A6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42BB"/>
    <w:rsid w:val="00245995"/>
    <w:rsid w:val="0024689F"/>
    <w:rsid w:val="0025261A"/>
    <w:rsid w:val="0025352A"/>
    <w:rsid w:val="00254821"/>
    <w:rsid w:val="00255E18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296E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0F9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67FA"/>
    <w:rsid w:val="002F03C8"/>
    <w:rsid w:val="002F05F6"/>
    <w:rsid w:val="002F06F7"/>
    <w:rsid w:val="002F0A8B"/>
    <w:rsid w:val="002F2490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3701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46DD8"/>
    <w:rsid w:val="003526F8"/>
    <w:rsid w:val="00354795"/>
    <w:rsid w:val="00355BA9"/>
    <w:rsid w:val="0035627A"/>
    <w:rsid w:val="003576A5"/>
    <w:rsid w:val="0036015C"/>
    <w:rsid w:val="0036295B"/>
    <w:rsid w:val="00362D5D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3BE9"/>
    <w:rsid w:val="00385392"/>
    <w:rsid w:val="00386445"/>
    <w:rsid w:val="00387977"/>
    <w:rsid w:val="00387E72"/>
    <w:rsid w:val="00390F37"/>
    <w:rsid w:val="00393A23"/>
    <w:rsid w:val="00393B3D"/>
    <w:rsid w:val="00393B64"/>
    <w:rsid w:val="00394450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141C"/>
    <w:rsid w:val="00404398"/>
    <w:rsid w:val="0040542C"/>
    <w:rsid w:val="00405BBC"/>
    <w:rsid w:val="00405FA8"/>
    <w:rsid w:val="00407088"/>
    <w:rsid w:val="00407B5D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2CB6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932"/>
    <w:rsid w:val="00450E5B"/>
    <w:rsid w:val="00452823"/>
    <w:rsid w:val="0045286A"/>
    <w:rsid w:val="004533DE"/>
    <w:rsid w:val="004534D4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4FE"/>
    <w:rsid w:val="004656A1"/>
    <w:rsid w:val="0046600D"/>
    <w:rsid w:val="00466620"/>
    <w:rsid w:val="004713FE"/>
    <w:rsid w:val="004721A1"/>
    <w:rsid w:val="0047419E"/>
    <w:rsid w:val="00476B61"/>
    <w:rsid w:val="0047775B"/>
    <w:rsid w:val="00477A11"/>
    <w:rsid w:val="004802BB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C3C0D"/>
    <w:rsid w:val="004C52F3"/>
    <w:rsid w:val="004C5587"/>
    <w:rsid w:val="004C5DC6"/>
    <w:rsid w:val="004C64E0"/>
    <w:rsid w:val="004D05E5"/>
    <w:rsid w:val="004D155C"/>
    <w:rsid w:val="004D2940"/>
    <w:rsid w:val="004D3897"/>
    <w:rsid w:val="004D3A62"/>
    <w:rsid w:val="004D3D40"/>
    <w:rsid w:val="004D51D1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A9"/>
    <w:rsid w:val="004F1C23"/>
    <w:rsid w:val="004F40EF"/>
    <w:rsid w:val="004F548E"/>
    <w:rsid w:val="004F674A"/>
    <w:rsid w:val="004F765F"/>
    <w:rsid w:val="005032D0"/>
    <w:rsid w:val="0050479F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5D5C"/>
    <w:rsid w:val="0053659A"/>
    <w:rsid w:val="00536C89"/>
    <w:rsid w:val="00537510"/>
    <w:rsid w:val="0054016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8B3"/>
    <w:rsid w:val="00565B18"/>
    <w:rsid w:val="00566686"/>
    <w:rsid w:val="00566733"/>
    <w:rsid w:val="005672CC"/>
    <w:rsid w:val="00570E3F"/>
    <w:rsid w:val="00573032"/>
    <w:rsid w:val="00577583"/>
    <w:rsid w:val="0057782F"/>
    <w:rsid w:val="005800C0"/>
    <w:rsid w:val="00581261"/>
    <w:rsid w:val="00583995"/>
    <w:rsid w:val="00584DD0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64D3"/>
    <w:rsid w:val="005B04B2"/>
    <w:rsid w:val="005B09E5"/>
    <w:rsid w:val="005B29F6"/>
    <w:rsid w:val="005B2EE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2EDE"/>
    <w:rsid w:val="005D5996"/>
    <w:rsid w:val="005D64E0"/>
    <w:rsid w:val="005D6DBA"/>
    <w:rsid w:val="005D6F9D"/>
    <w:rsid w:val="005D7494"/>
    <w:rsid w:val="005D756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2D32"/>
    <w:rsid w:val="0060340E"/>
    <w:rsid w:val="00603543"/>
    <w:rsid w:val="006044EF"/>
    <w:rsid w:val="00604F89"/>
    <w:rsid w:val="00605A82"/>
    <w:rsid w:val="006064FC"/>
    <w:rsid w:val="006067E8"/>
    <w:rsid w:val="0060760E"/>
    <w:rsid w:val="00607F6D"/>
    <w:rsid w:val="00610A98"/>
    <w:rsid w:val="00610BDE"/>
    <w:rsid w:val="00611BE9"/>
    <w:rsid w:val="00612798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7C93"/>
    <w:rsid w:val="00632F8F"/>
    <w:rsid w:val="00633B9B"/>
    <w:rsid w:val="00633CAB"/>
    <w:rsid w:val="00635F8E"/>
    <w:rsid w:val="0063788F"/>
    <w:rsid w:val="00640F77"/>
    <w:rsid w:val="006410C2"/>
    <w:rsid w:val="006418C0"/>
    <w:rsid w:val="006430C4"/>
    <w:rsid w:val="006431BA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3275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05C6"/>
    <w:rsid w:val="006839CE"/>
    <w:rsid w:val="00684D10"/>
    <w:rsid w:val="00685DEE"/>
    <w:rsid w:val="00687024"/>
    <w:rsid w:val="00687A7A"/>
    <w:rsid w:val="00692A07"/>
    <w:rsid w:val="0069393A"/>
    <w:rsid w:val="006953F5"/>
    <w:rsid w:val="00695611"/>
    <w:rsid w:val="00696638"/>
    <w:rsid w:val="006A06BD"/>
    <w:rsid w:val="006A1FE2"/>
    <w:rsid w:val="006A2B45"/>
    <w:rsid w:val="006A3FA7"/>
    <w:rsid w:val="006A40EB"/>
    <w:rsid w:val="006A5B16"/>
    <w:rsid w:val="006A60DB"/>
    <w:rsid w:val="006A6CB1"/>
    <w:rsid w:val="006A7C14"/>
    <w:rsid w:val="006B0DA8"/>
    <w:rsid w:val="006B267F"/>
    <w:rsid w:val="006B2F0B"/>
    <w:rsid w:val="006B38CE"/>
    <w:rsid w:val="006B3E5D"/>
    <w:rsid w:val="006B4416"/>
    <w:rsid w:val="006B5B47"/>
    <w:rsid w:val="006B5F51"/>
    <w:rsid w:val="006B7014"/>
    <w:rsid w:val="006B7E8F"/>
    <w:rsid w:val="006C18D7"/>
    <w:rsid w:val="006C19AB"/>
    <w:rsid w:val="006C402E"/>
    <w:rsid w:val="006C4FBC"/>
    <w:rsid w:val="006C5F65"/>
    <w:rsid w:val="006C6050"/>
    <w:rsid w:val="006C6530"/>
    <w:rsid w:val="006D0FBE"/>
    <w:rsid w:val="006D140B"/>
    <w:rsid w:val="006D1812"/>
    <w:rsid w:val="006D2809"/>
    <w:rsid w:val="006D3682"/>
    <w:rsid w:val="006D45D6"/>
    <w:rsid w:val="006D68E6"/>
    <w:rsid w:val="006E0469"/>
    <w:rsid w:val="006E171A"/>
    <w:rsid w:val="006E1BEE"/>
    <w:rsid w:val="006E2EA3"/>
    <w:rsid w:val="006E3EBA"/>
    <w:rsid w:val="006E5489"/>
    <w:rsid w:val="006E6A62"/>
    <w:rsid w:val="006E7743"/>
    <w:rsid w:val="006F04D3"/>
    <w:rsid w:val="006F1E9A"/>
    <w:rsid w:val="006F263D"/>
    <w:rsid w:val="006F3577"/>
    <w:rsid w:val="006F51AC"/>
    <w:rsid w:val="006F5D5A"/>
    <w:rsid w:val="006F7CDE"/>
    <w:rsid w:val="00701A86"/>
    <w:rsid w:val="00701ED4"/>
    <w:rsid w:val="0070605F"/>
    <w:rsid w:val="00710178"/>
    <w:rsid w:val="00713427"/>
    <w:rsid w:val="007139AD"/>
    <w:rsid w:val="00713F81"/>
    <w:rsid w:val="007152E6"/>
    <w:rsid w:val="0071602D"/>
    <w:rsid w:val="007176C1"/>
    <w:rsid w:val="007177B2"/>
    <w:rsid w:val="00721FDF"/>
    <w:rsid w:val="007225BE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4EE8"/>
    <w:rsid w:val="0075588A"/>
    <w:rsid w:val="00755FCA"/>
    <w:rsid w:val="00756B74"/>
    <w:rsid w:val="00756D5F"/>
    <w:rsid w:val="00757439"/>
    <w:rsid w:val="0076206D"/>
    <w:rsid w:val="007628BE"/>
    <w:rsid w:val="00763406"/>
    <w:rsid w:val="007645C6"/>
    <w:rsid w:val="00765CB5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0ED0"/>
    <w:rsid w:val="0078185F"/>
    <w:rsid w:val="00781BDD"/>
    <w:rsid w:val="00781DF2"/>
    <w:rsid w:val="00781FC4"/>
    <w:rsid w:val="00783E9B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3F1"/>
    <w:rsid w:val="007A7C47"/>
    <w:rsid w:val="007B0C49"/>
    <w:rsid w:val="007B2537"/>
    <w:rsid w:val="007B28EA"/>
    <w:rsid w:val="007B3647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106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0084"/>
    <w:rsid w:val="008026D3"/>
    <w:rsid w:val="00806966"/>
    <w:rsid w:val="00806E6A"/>
    <w:rsid w:val="00811199"/>
    <w:rsid w:val="00811DC7"/>
    <w:rsid w:val="00813F77"/>
    <w:rsid w:val="008159B1"/>
    <w:rsid w:val="00816A9D"/>
    <w:rsid w:val="008224EC"/>
    <w:rsid w:val="0082310B"/>
    <w:rsid w:val="008238C5"/>
    <w:rsid w:val="00824263"/>
    <w:rsid w:val="00825EF8"/>
    <w:rsid w:val="00826CF2"/>
    <w:rsid w:val="00826D5F"/>
    <w:rsid w:val="00826F29"/>
    <w:rsid w:val="00827576"/>
    <w:rsid w:val="00830AD5"/>
    <w:rsid w:val="00830E4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5CEA"/>
    <w:rsid w:val="00856285"/>
    <w:rsid w:val="00856342"/>
    <w:rsid w:val="00856C90"/>
    <w:rsid w:val="008572A0"/>
    <w:rsid w:val="00860218"/>
    <w:rsid w:val="00860267"/>
    <w:rsid w:val="00861600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3D0E"/>
    <w:rsid w:val="00894C81"/>
    <w:rsid w:val="00895500"/>
    <w:rsid w:val="008970E7"/>
    <w:rsid w:val="008A09F1"/>
    <w:rsid w:val="008A0B52"/>
    <w:rsid w:val="008A119F"/>
    <w:rsid w:val="008A1936"/>
    <w:rsid w:val="008A30BC"/>
    <w:rsid w:val="008A3656"/>
    <w:rsid w:val="008A414F"/>
    <w:rsid w:val="008A525C"/>
    <w:rsid w:val="008A5A89"/>
    <w:rsid w:val="008A7BAA"/>
    <w:rsid w:val="008B20A0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E687B"/>
    <w:rsid w:val="008F0777"/>
    <w:rsid w:val="008F3E9F"/>
    <w:rsid w:val="008F600F"/>
    <w:rsid w:val="008F6A56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7D5"/>
    <w:rsid w:val="00913368"/>
    <w:rsid w:val="00917931"/>
    <w:rsid w:val="00917D4D"/>
    <w:rsid w:val="00920A58"/>
    <w:rsid w:val="009229CC"/>
    <w:rsid w:val="00922B2D"/>
    <w:rsid w:val="00922F11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163F"/>
    <w:rsid w:val="00931929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3C9D"/>
    <w:rsid w:val="00974484"/>
    <w:rsid w:val="00976440"/>
    <w:rsid w:val="009773E7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1476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08AA"/>
    <w:rsid w:val="009D1D61"/>
    <w:rsid w:val="009D3309"/>
    <w:rsid w:val="009D7997"/>
    <w:rsid w:val="009D7D13"/>
    <w:rsid w:val="009E05C7"/>
    <w:rsid w:val="009E19D5"/>
    <w:rsid w:val="009E1C14"/>
    <w:rsid w:val="009E240E"/>
    <w:rsid w:val="009E499C"/>
    <w:rsid w:val="009E4E93"/>
    <w:rsid w:val="009E73B5"/>
    <w:rsid w:val="009F06BB"/>
    <w:rsid w:val="009F3AAE"/>
    <w:rsid w:val="009F503F"/>
    <w:rsid w:val="00A01078"/>
    <w:rsid w:val="00A01C47"/>
    <w:rsid w:val="00A01C84"/>
    <w:rsid w:val="00A03D81"/>
    <w:rsid w:val="00A0606D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4288"/>
    <w:rsid w:val="00A364D6"/>
    <w:rsid w:val="00A36E90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2546"/>
    <w:rsid w:val="00A6346E"/>
    <w:rsid w:val="00A63C25"/>
    <w:rsid w:val="00A64321"/>
    <w:rsid w:val="00A6503B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A003F"/>
    <w:rsid w:val="00AA533D"/>
    <w:rsid w:val="00AA60A2"/>
    <w:rsid w:val="00AA68D6"/>
    <w:rsid w:val="00AB0A10"/>
    <w:rsid w:val="00AB1574"/>
    <w:rsid w:val="00AB15C0"/>
    <w:rsid w:val="00AB19BC"/>
    <w:rsid w:val="00AB2D8E"/>
    <w:rsid w:val="00AB35BD"/>
    <w:rsid w:val="00AB3A8A"/>
    <w:rsid w:val="00AB3D26"/>
    <w:rsid w:val="00AB4674"/>
    <w:rsid w:val="00AB6591"/>
    <w:rsid w:val="00AB6833"/>
    <w:rsid w:val="00AB7915"/>
    <w:rsid w:val="00AC3433"/>
    <w:rsid w:val="00AC3DFA"/>
    <w:rsid w:val="00AC676F"/>
    <w:rsid w:val="00AC6E7D"/>
    <w:rsid w:val="00AD0599"/>
    <w:rsid w:val="00AD071F"/>
    <w:rsid w:val="00AD16DB"/>
    <w:rsid w:val="00AD2C4B"/>
    <w:rsid w:val="00AD2EC4"/>
    <w:rsid w:val="00AD57FB"/>
    <w:rsid w:val="00AD6214"/>
    <w:rsid w:val="00AD6F72"/>
    <w:rsid w:val="00AE03C9"/>
    <w:rsid w:val="00AE41AD"/>
    <w:rsid w:val="00AE4214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E58"/>
    <w:rsid w:val="00B230CA"/>
    <w:rsid w:val="00B249B9"/>
    <w:rsid w:val="00B265ED"/>
    <w:rsid w:val="00B30BDA"/>
    <w:rsid w:val="00B31112"/>
    <w:rsid w:val="00B31EEC"/>
    <w:rsid w:val="00B361A5"/>
    <w:rsid w:val="00B363DC"/>
    <w:rsid w:val="00B36519"/>
    <w:rsid w:val="00B36A8A"/>
    <w:rsid w:val="00B406DE"/>
    <w:rsid w:val="00B4103C"/>
    <w:rsid w:val="00B43970"/>
    <w:rsid w:val="00B45FAB"/>
    <w:rsid w:val="00B52C0E"/>
    <w:rsid w:val="00B5331C"/>
    <w:rsid w:val="00B54622"/>
    <w:rsid w:val="00B549B6"/>
    <w:rsid w:val="00B572C8"/>
    <w:rsid w:val="00B57D5F"/>
    <w:rsid w:val="00B62F06"/>
    <w:rsid w:val="00B632EF"/>
    <w:rsid w:val="00B64085"/>
    <w:rsid w:val="00B65B90"/>
    <w:rsid w:val="00B70838"/>
    <w:rsid w:val="00B72BC7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3A1B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1D96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3B6D"/>
    <w:rsid w:val="00C14F1E"/>
    <w:rsid w:val="00C16576"/>
    <w:rsid w:val="00C165EA"/>
    <w:rsid w:val="00C17081"/>
    <w:rsid w:val="00C17738"/>
    <w:rsid w:val="00C17BF0"/>
    <w:rsid w:val="00C21BD1"/>
    <w:rsid w:val="00C21DE1"/>
    <w:rsid w:val="00C24C1D"/>
    <w:rsid w:val="00C25176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034"/>
    <w:rsid w:val="00C55D2C"/>
    <w:rsid w:val="00C56738"/>
    <w:rsid w:val="00C56961"/>
    <w:rsid w:val="00C61B08"/>
    <w:rsid w:val="00C62840"/>
    <w:rsid w:val="00C63BD9"/>
    <w:rsid w:val="00C6660D"/>
    <w:rsid w:val="00C66F39"/>
    <w:rsid w:val="00C7117F"/>
    <w:rsid w:val="00C71781"/>
    <w:rsid w:val="00C7202F"/>
    <w:rsid w:val="00C73020"/>
    <w:rsid w:val="00C74500"/>
    <w:rsid w:val="00C74B58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4500"/>
    <w:rsid w:val="00C9528D"/>
    <w:rsid w:val="00C95B2E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5FE"/>
    <w:rsid w:val="00CB2D98"/>
    <w:rsid w:val="00CB7A6B"/>
    <w:rsid w:val="00CC2FFE"/>
    <w:rsid w:val="00CC4468"/>
    <w:rsid w:val="00CC7EE2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42D6"/>
    <w:rsid w:val="00CF67EC"/>
    <w:rsid w:val="00CF6E62"/>
    <w:rsid w:val="00CF7F78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15C81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0614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11D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B79D2"/>
    <w:rsid w:val="00DC47A9"/>
    <w:rsid w:val="00DC4F1D"/>
    <w:rsid w:val="00DC5179"/>
    <w:rsid w:val="00DC52B0"/>
    <w:rsid w:val="00DC6DD4"/>
    <w:rsid w:val="00DC7E16"/>
    <w:rsid w:val="00DD170D"/>
    <w:rsid w:val="00DD3EA9"/>
    <w:rsid w:val="00DD77C8"/>
    <w:rsid w:val="00DE0082"/>
    <w:rsid w:val="00DE1323"/>
    <w:rsid w:val="00DE173D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4D2B"/>
    <w:rsid w:val="00DF5402"/>
    <w:rsid w:val="00E00405"/>
    <w:rsid w:val="00E012D8"/>
    <w:rsid w:val="00E01798"/>
    <w:rsid w:val="00E01D98"/>
    <w:rsid w:val="00E01E13"/>
    <w:rsid w:val="00E02577"/>
    <w:rsid w:val="00E04F3C"/>
    <w:rsid w:val="00E06A09"/>
    <w:rsid w:val="00E06BCF"/>
    <w:rsid w:val="00E071FA"/>
    <w:rsid w:val="00E07C37"/>
    <w:rsid w:val="00E112EE"/>
    <w:rsid w:val="00E13BD1"/>
    <w:rsid w:val="00E13D12"/>
    <w:rsid w:val="00E1436E"/>
    <w:rsid w:val="00E16BEC"/>
    <w:rsid w:val="00E203E1"/>
    <w:rsid w:val="00E213CF"/>
    <w:rsid w:val="00E216BF"/>
    <w:rsid w:val="00E2412D"/>
    <w:rsid w:val="00E254FA"/>
    <w:rsid w:val="00E26DA9"/>
    <w:rsid w:val="00E27B6C"/>
    <w:rsid w:val="00E30521"/>
    <w:rsid w:val="00E31484"/>
    <w:rsid w:val="00E31FD9"/>
    <w:rsid w:val="00E328B5"/>
    <w:rsid w:val="00E330CE"/>
    <w:rsid w:val="00E33D1A"/>
    <w:rsid w:val="00E341DD"/>
    <w:rsid w:val="00E367E5"/>
    <w:rsid w:val="00E4179E"/>
    <w:rsid w:val="00E42651"/>
    <w:rsid w:val="00E43791"/>
    <w:rsid w:val="00E44F67"/>
    <w:rsid w:val="00E45EDE"/>
    <w:rsid w:val="00E45F73"/>
    <w:rsid w:val="00E4693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710A"/>
    <w:rsid w:val="00E714D0"/>
    <w:rsid w:val="00E83B43"/>
    <w:rsid w:val="00E856BB"/>
    <w:rsid w:val="00E85BC9"/>
    <w:rsid w:val="00E8665B"/>
    <w:rsid w:val="00E86F93"/>
    <w:rsid w:val="00E87AD2"/>
    <w:rsid w:val="00E9033A"/>
    <w:rsid w:val="00E91322"/>
    <w:rsid w:val="00E91AD3"/>
    <w:rsid w:val="00E91DE6"/>
    <w:rsid w:val="00E93257"/>
    <w:rsid w:val="00E96131"/>
    <w:rsid w:val="00EA12A7"/>
    <w:rsid w:val="00EA12F5"/>
    <w:rsid w:val="00EA17EA"/>
    <w:rsid w:val="00EA3175"/>
    <w:rsid w:val="00EA3278"/>
    <w:rsid w:val="00EA3642"/>
    <w:rsid w:val="00EA42CB"/>
    <w:rsid w:val="00EA4537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0538"/>
    <w:rsid w:val="00EC1BC6"/>
    <w:rsid w:val="00EC2BDF"/>
    <w:rsid w:val="00EC33AF"/>
    <w:rsid w:val="00EC5EAE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995"/>
    <w:rsid w:val="00F11A7E"/>
    <w:rsid w:val="00F123F2"/>
    <w:rsid w:val="00F1590C"/>
    <w:rsid w:val="00F16B95"/>
    <w:rsid w:val="00F2021D"/>
    <w:rsid w:val="00F21F61"/>
    <w:rsid w:val="00F227E8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1688"/>
    <w:rsid w:val="00F4345C"/>
    <w:rsid w:val="00F43517"/>
    <w:rsid w:val="00F464A2"/>
    <w:rsid w:val="00F46FE3"/>
    <w:rsid w:val="00F47D26"/>
    <w:rsid w:val="00F5125C"/>
    <w:rsid w:val="00F51A2F"/>
    <w:rsid w:val="00F523EB"/>
    <w:rsid w:val="00F52B97"/>
    <w:rsid w:val="00F5496A"/>
    <w:rsid w:val="00F603AD"/>
    <w:rsid w:val="00F61593"/>
    <w:rsid w:val="00F63069"/>
    <w:rsid w:val="00F642CE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82E"/>
    <w:rsid w:val="00FC48E3"/>
    <w:rsid w:val="00FC498C"/>
    <w:rsid w:val="00FD2D8D"/>
    <w:rsid w:val="00FD355B"/>
    <w:rsid w:val="00FD3628"/>
    <w:rsid w:val="00FD4003"/>
    <w:rsid w:val="00FD4F88"/>
    <w:rsid w:val="00FD766E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E49FCD"/>
  <w14:defaultImageDpi w14:val="300"/>
  <w15:docId w15:val="{97284D45-D321-4F02-8A10-2A24F892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2D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70E3F"/>
    <w:pPr>
      <w:keepNext/>
      <w:spacing w:line="480" w:lineRule="exact"/>
      <w:jc w:val="center"/>
      <w:outlineLvl w:val="0"/>
    </w:pPr>
    <w:rPr>
      <w:rFonts w:ascii="Arial Bold" w:hAnsi="Arial Bold" w:cs="Arial"/>
      <w:b/>
      <w:bCs/>
      <w:cap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570E3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70E3F"/>
    <w:pPr>
      <w:keepNext/>
      <w:spacing w:after="60"/>
      <w:outlineLvl w:val="2"/>
    </w:pPr>
    <w:rPr>
      <w:rFonts w:cs="Arial"/>
      <w:b/>
      <w:bCs/>
      <w:sz w:val="24"/>
      <w:szCs w:val="22"/>
    </w:rPr>
  </w:style>
  <w:style w:type="paragraph" w:styleId="Heading4">
    <w:name w:val="heading 4"/>
    <w:basedOn w:val="Heading3"/>
    <w:next w:val="Normal"/>
    <w:link w:val="Heading4Char"/>
    <w:qFormat/>
    <w:rsid w:val="00570E3F"/>
    <w:pPr>
      <w:outlineLvl w:val="3"/>
    </w:pPr>
    <w:rPr>
      <w:sz w:val="22"/>
    </w:rPr>
  </w:style>
  <w:style w:type="paragraph" w:styleId="Heading7">
    <w:name w:val="heading 7"/>
    <w:basedOn w:val="Normal"/>
    <w:next w:val="Normal"/>
    <w:link w:val="Heading7Char"/>
    <w:rsid w:val="00D40614"/>
    <w:pPr>
      <w:spacing w:before="240" w:after="60"/>
      <w:outlineLvl w:val="6"/>
    </w:pPr>
    <w:rPr>
      <w:rFonts w:ascii="Cambria" w:eastAsia="MS Mincho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41688"/>
    <w:pPr>
      <w:tabs>
        <w:tab w:val="center" w:pos="4513"/>
        <w:tab w:val="right" w:pos="9026"/>
      </w:tabs>
    </w:pPr>
  </w:style>
  <w:style w:type="paragraph" w:customStyle="1" w:styleId="BasicParagraph">
    <w:name w:val="[Basic Paragraph]"/>
    <w:basedOn w:val="Normal"/>
    <w:rsid w:val="00A72C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customStyle="1" w:styleId="Heading4Char">
    <w:name w:val="Heading 4 Char"/>
    <w:link w:val="Heading4"/>
    <w:rsid w:val="00570E3F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D40614"/>
    <w:rPr>
      <w:rFonts w:ascii="Cambria" w:eastAsia="MS Mincho" w:hAnsi="Cambria" w:cs="Times New Roman"/>
      <w:sz w:val="24"/>
      <w:szCs w:val="24"/>
      <w:lang w:eastAsia="en-AU"/>
    </w:rPr>
  </w:style>
  <w:style w:type="table" w:styleId="ListTable2-Accent5">
    <w:name w:val="List Table 2 Accent 5"/>
    <w:basedOn w:val="TableNormal"/>
    <w:uiPriority w:val="47"/>
    <w:rsid w:val="007B364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Text">
    <w:name w:val="Table Text"/>
    <w:basedOn w:val="Normal"/>
    <w:qFormat/>
    <w:rsid w:val="007B3647"/>
    <w:pPr>
      <w:spacing w:before="60" w:after="60"/>
    </w:pPr>
    <w:rPr>
      <w:szCs w:val="20"/>
      <w:lang w:val="en-GB"/>
    </w:rPr>
  </w:style>
  <w:style w:type="paragraph" w:customStyle="1" w:styleId="Versionhistory">
    <w:name w:val="Version history"/>
    <w:basedOn w:val="Normal"/>
    <w:rsid w:val="00026331"/>
    <w:pPr>
      <w:tabs>
        <w:tab w:val="left" w:pos="2552"/>
      </w:tabs>
      <w:spacing w:before="120"/>
    </w:pPr>
    <w:rPr>
      <w:b/>
      <w:color w:val="404040" w:themeColor="text1" w:themeTint="BF"/>
      <w:szCs w:val="22"/>
    </w:rPr>
  </w:style>
  <w:style w:type="numbering" w:customStyle="1" w:styleId="BulletList">
    <w:name w:val="Bullet List"/>
    <w:uiPriority w:val="99"/>
    <w:rsid w:val="00EA17EA"/>
    <w:pPr>
      <w:numPr>
        <w:numId w:val="8"/>
      </w:numPr>
    </w:pPr>
  </w:style>
  <w:style w:type="numbering" w:customStyle="1" w:styleId="Numberlist">
    <w:name w:val="Number list"/>
    <w:uiPriority w:val="99"/>
    <w:rsid w:val="00137F97"/>
    <w:pPr>
      <w:numPr>
        <w:numId w:val="10"/>
      </w:numPr>
    </w:pPr>
  </w:style>
  <w:style w:type="character" w:customStyle="1" w:styleId="HeaderChar">
    <w:name w:val="Header Char"/>
    <w:basedOn w:val="DefaultParagraphFont"/>
    <w:link w:val="Header"/>
    <w:rsid w:val="00F41688"/>
    <w:rPr>
      <w:rFonts w:ascii="Arial" w:hAnsi="Arial"/>
      <w:sz w:val="22"/>
      <w:szCs w:val="24"/>
    </w:rPr>
  </w:style>
  <w:style w:type="paragraph" w:styleId="ListBullet">
    <w:name w:val="List Bullet"/>
    <w:basedOn w:val="ListParagraph"/>
    <w:unhideWhenUsed/>
    <w:qFormat/>
    <w:rsid w:val="00CF42D6"/>
    <w:pPr>
      <w:numPr>
        <w:numId w:val="9"/>
      </w:numPr>
    </w:pPr>
  </w:style>
  <w:style w:type="paragraph" w:styleId="BalloonText">
    <w:name w:val="Balloon Text"/>
    <w:basedOn w:val="Normal"/>
    <w:link w:val="BalloonTextChar"/>
    <w:semiHidden/>
    <w:unhideWhenUsed/>
    <w:rsid w:val="006431BA"/>
    <w:rPr>
      <w:rFonts w:ascii="Segoe UI" w:hAnsi="Segoe UI" w:cs="Segoe UI"/>
      <w:sz w:val="18"/>
      <w:szCs w:val="18"/>
    </w:rPr>
  </w:style>
  <w:style w:type="paragraph" w:customStyle="1" w:styleId="TableHeading">
    <w:name w:val="Table Heading"/>
    <w:basedOn w:val="Normal"/>
    <w:qFormat/>
    <w:rsid w:val="007B3647"/>
    <w:pPr>
      <w:spacing w:before="120" w:after="120"/>
    </w:pPr>
    <w:rPr>
      <w:rFonts w:ascii="Arial Bold" w:hAnsi="Arial Bold"/>
      <w:b/>
      <w:color w:val="000000" w:themeColor="text1"/>
    </w:rPr>
  </w:style>
  <w:style w:type="paragraph" w:customStyle="1" w:styleId="Line">
    <w:name w:val="Line"/>
    <w:basedOn w:val="Normal"/>
    <w:rsid w:val="000F7D70"/>
    <w:pPr>
      <w:pBdr>
        <w:bottom w:val="single" w:sz="4" w:space="1" w:color="auto"/>
      </w:pBdr>
    </w:pPr>
    <w:rPr>
      <w:sz w:val="12"/>
      <w:szCs w:val="20"/>
    </w:rPr>
  </w:style>
  <w:style w:type="paragraph" w:customStyle="1" w:styleId="PracticeGuideTitle">
    <w:name w:val="Practice Guide Title"/>
    <w:basedOn w:val="Normal"/>
    <w:qFormat/>
    <w:rsid w:val="00570E3F"/>
    <w:pPr>
      <w:spacing w:after="120"/>
      <w:ind w:left="2835" w:hanging="2835"/>
      <w:jc w:val="center"/>
    </w:pPr>
    <w:rPr>
      <w:sz w:val="36"/>
      <w:szCs w:val="20"/>
    </w:rPr>
  </w:style>
  <w:style w:type="paragraph" w:styleId="ListParagraph">
    <w:name w:val="List Paragraph"/>
    <w:uiPriority w:val="34"/>
    <w:qFormat/>
    <w:rsid w:val="00362D5D"/>
    <w:pPr>
      <w:ind w:left="720"/>
      <w:contextualSpacing/>
    </w:pPr>
    <w:rPr>
      <w:rFonts w:ascii="Arial" w:hAnsi="Arial"/>
      <w:sz w:val="22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D08AA"/>
    <w:pPr>
      <w:suppressAutoHyphens/>
      <w:spacing w:before="120" w:after="120"/>
    </w:pPr>
    <w:rPr>
      <w:bCs/>
      <w:color w:val="7F7F7F" w:themeColor="text1" w:themeTint="80"/>
      <w:sz w:val="16"/>
      <w:szCs w:val="20"/>
    </w:rPr>
  </w:style>
  <w:style w:type="character" w:customStyle="1" w:styleId="CaptionChar">
    <w:name w:val="Caption Char"/>
    <w:link w:val="Caption"/>
    <w:uiPriority w:val="35"/>
    <w:locked/>
    <w:rsid w:val="009D08AA"/>
    <w:rPr>
      <w:rFonts w:ascii="Arial" w:hAnsi="Arial"/>
      <w:bCs/>
      <w:color w:val="7F7F7F" w:themeColor="text1" w:themeTint="80"/>
      <w:sz w:val="16"/>
    </w:rPr>
  </w:style>
  <w:style w:type="paragraph" w:styleId="Subtitle">
    <w:name w:val="Subtitle"/>
    <w:basedOn w:val="Normal"/>
    <w:next w:val="Normal"/>
    <w:link w:val="SubtitleChar"/>
    <w:rsid w:val="00570E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570E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Style1">
    <w:name w:val="Style1"/>
    <w:uiPriority w:val="99"/>
    <w:rsid w:val="00137F97"/>
    <w:pPr>
      <w:numPr>
        <w:numId w:val="13"/>
      </w:numPr>
    </w:pPr>
  </w:style>
  <w:style w:type="paragraph" w:customStyle="1" w:styleId="TableTitle">
    <w:name w:val="Table Title"/>
    <w:qFormat/>
    <w:rsid w:val="00EC0538"/>
    <w:rPr>
      <w:rFonts w:ascii="Arial" w:hAnsi="Arial" w:cs="Arial"/>
      <w:b/>
      <w:bCs/>
      <w:sz w:val="22"/>
      <w:szCs w:val="22"/>
    </w:rPr>
  </w:style>
  <w:style w:type="table" w:styleId="TableGridLight">
    <w:name w:val="Grid Table Light"/>
    <w:basedOn w:val="TableNormal"/>
    <w:rsid w:val="00362D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73"/>
    <w:qFormat/>
    <w:rsid w:val="00C945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C94500"/>
    <w:rPr>
      <w:rFonts w:ascii="Arial" w:hAnsi="Arial"/>
      <w:i/>
      <w:iCs/>
      <w:color w:val="404040" w:themeColor="text1" w:themeTint="BF"/>
      <w:sz w:val="22"/>
      <w:szCs w:val="24"/>
    </w:rPr>
  </w:style>
  <w:style w:type="character" w:styleId="Hyperlink">
    <w:name w:val="Hyperlink"/>
    <w:basedOn w:val="DefaultParagraphFont"/>
    <w:rsid w:val="008A1936"/>
    <w:rPr>
      <w:color w:val="0000FF" w:themeColor="hyperlink"/>
      <w:u w:val="single"/>
    </w:rPr>
  </w:style>
  <w:style w:type="paragraph" w:styleId="ListNumber">
    <w:name w:val="List Number"/>
    <w:basedOn w:val="Normal"/>
    <w:unhideWhenUsed/>
    <w:qFormat/>
    <w:rsid w:val="00CF42D6"/>
    <w:pPr>
      <w:numPr>
        <w:numId w:val="26"/>
      </w:numPr>
      <w:contextualSpacing/>
    </w:pPr>
  </w:style>
  <w:style w:type="character" w:customStyle="1" w:styleId="BalloonTextChar">
    <w:name w:val="Balloon Text Char"/>
    <w:basedOn w:val="DefaultParagraphFont"/>
    <w:link w:val="BalloonText"/>
    <w:semiHidden/>
    <w:rsid w:val="006431B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16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88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rsid w:val="0086160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616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1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160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1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1600"/>
    <w:rPr>
      <w:rFonts w:ascii="Arial" w:hAnsi="Arial"/>
      <w:b/>
      <w:bCs/>
    </w:rPr>
  </w:style>
  <w:style w:type="paragraph" w:styleId="Revision">
    <w:name w:val="Revision"/>
    <w:hidden/>
    <w:uiPriority w:val="71"/>
    <w:semiHidden/>
    <w:rsid w:val="00D9011D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F549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5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4D955C35CF34D8BA97303467C46E5" ma:contentTypeVersion="13" ma:contentTypeDescription="Create a new document." ma:contentTypeScope="" ma:versionID="84343740cb57a5d88965eeeb2bb0f32b">
  <xsd:schema xmlns:xsd="http://www.w3.org/2001/XMLSchema" xmlns:xs="http://www.w3.org/2001/XMLSchema" xmlns:p="http://schemas.microsoft.com/office/2006/metadata/properties" xmlns:ns3="6e618e09-8df7-4d66-add8-8a2883c71f75" xmlns:ns4="7dedc251-df15-4fb9-9eb9-3ea1e35d793b" targetNamespace="http://schemas.microsoft.com/office/2006/metadata/properties" ma:root="true" ma:fieldsID="cc75fd621c003894cdfa4ba387272f15" ns3:_="" ns4:_="">
    <xsd:import namespace="6e618e09-8df7-4d66-add8-8a2883c71f75"/>
    <xsd:import namespace="7dedc251-df15-4fb9-9eb9-3ea1e35d7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18e09-8df7-4d66-add8-8a2883c7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dc251-df15-4fb9-9eb9-3ea1e35d7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1319B-648B-467B-9097-BBB2DB81F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BED6C-C5FA-4D35-8973-A3CD2E424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18e09-8df7-4d66-add8-8a2883c71f75"/>
    <ds:schemaRef ds:uri="7dedc251-df15-4fb9-9eb9-3ea1e35d7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E8204-A3A0-4E8E-9A8C-B4C0CA28BA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CFD4E-F091-476B-830C-39DD467594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770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Procedure Template</vt:lpstr>
    </vt:vector>
  </TitlesOfParts>
  <Manager>Department of Communities, Child Safety and Disability Services</Manager>
  <Company>Queensland Government</Company>
  <LinksUpToDate>false</LinksUpToDate>
  <CharactersWithSpaces>5295</CharactersWithSpaces>
  <SharedDoc>false</SharedDoc>
  <HLinks>
    <vt:vector size="6" baseType="variant">
      <vt:variant>
        <vt:i4>3604546</vt:i4>
      </vt:variant>
      <vt:variant>
        <vt:i4>-1</vt:i4>
      </vt:variant>
      <vt:variant>
        <vt:i4>2059</vt:i4>
      </vt:variant>
      <vt:variant>
        <vt:i4>1</vt:i4>
      </vt:variant>
      <vt:variant>
        <vt:lpwstr>HeaderFooters-1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Procedure Template</dc:title>
  <dc:subject>online templates</dc:subject>
  <dc:creator>Queensland Government</dc:creator>
  <cp:keywords>procedure, corporate, executive, template, A4, portrait</cp:keywords>
  <cp:lastModifiedBy>Carol Strawbridge</cp:lastModifiedBy>
  <cp:revision>2</cp:revision>
  <cp:lastPrinted>2021-11-26T00:53:00Z</cp:lastPrinted>
  <dcterms:created xsi:type="dcterms:W3CDTF">2021-11-26T06:11:00Z</dcterms:created>
  <dcterms:modified xsi:type="dcterms:W3CDTF">2021-11-26T06:11:00Z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0x010100BBA4D955C35CF34D8BA97303467C46E5</vt:lpwstr>
  </property>
</Properties>
</file>